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6A5EBA" w:rsidR="00DE3879" w:rsidRDefault="006A5EBA" w14:paraId="4C5BEEF6" w14:textId="77777777">
      <w:pPr>
        <w:spacing w:before="240" w:after="240"/>
        <w:jc w:val="center"/>
        <w:rPr>
          <w:b/>
          <w:sz w:val="36"/>
          <w:szCs w:val="36"/>
          <w:lang w:val="en-GB"/>
        </w:rPr>
      </w:pPr>
      <w:bookmarkStart w:name="_GoBack" w:id="0"/>
      <w:bookmarkEnd w:id="0"/>
      <w:r w:rsidRPr="006A5EBA">
        <w:rPr>
          <w:b/>
          <w:sz w:val="36"/>
          <w:szCs w:val="36"/>
          <w:lang w:val="en-GB"/>
        </w:rPr>
        <w:t>EU4ALGAE – WG2</w:t>
      </w:r>
    </w:p>
    <w:p w:rsidRPr="006A5EBA" w:rsidR="00DE3879" w:rsidRDefault="006A5EBA" w14:paraId="7DEB421C" w14:textId="77777777">
      <w:pPr>
        <w:spacing w:before="240" w:after="240"/>
        <w:jc w:val="center"/>
        <w:rPr>
          <w:b/>
          <w:sz w:val="36"/>
          <w:szCs w:val="36"/>
          <w:lang w:val="en-GB"/>
        </w:rPr>
      </w:pPr>
      <w:r w:rsidRPr="006A5EBA">
        <w:rPr>
          <w:b/>
          <w:sz w:val="36"/>
          <w:szCs w:val="36"/>
          <w:lang w:val="en-GB"/>
        </w:rPr>
        <w:t>TEMPLATE Sub-group on Circular economy</w:t>
      </w:r>
    </w:p>
    <w:tbl>
      <w:tblPr>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0"/>
        <w:gridCol w:w="2704"/>
        <w:gridCol w:w="1826"/>
        <w:gridCol w:w="2485"/>
      </w:tblGrid>
      <w:tr w:rsidR="00DE3879" w:rsidTr="61F62BD4" w14:paraId="3F0CF62C" w14:textId="77777777">
        <w:trPr>
          <w:trHeight w:val="676"/>
        </w:trPr>
        <w:tc>
          <w:tcPr>
            <w:tcW w:w="2010" w:type="dxa"/>
            <w:tcBorders>
              <w:top w:val="single" w:color="808080" w:themeColor="background1" w:themeShade="80" w:sz="5" w:space="0"/>
              <w:left w:val="single" w:color="808080" w:themeColor="background1" w:themeShade="80" w:sz="5" w:space="0"/>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P="61F62BD4" w:rsidRDefault="006A5EBA" w14:paraId="455417D8" w14:textId="77777777">
            <w:pPr>
              <w:spacing w:before="240" w:after="240"/>
              <w:ind w:left="-40"/>
              <w:jc w:val="right"/>
              <w:rPr>
                <w:b w:val="1"/>
                <w:bCs w:val="1"/>
                <w:sz w:val="20"/>
                <w:szCs w:val="20"/>
                <w:lang w:val="fr-FR"/>
              </w:rPr>
            </w:pPr>
            <w:r w:rsidRPr="61F62BD4" w:rsidR="006A5EBA">
              <w:rPr>
                <w:b w:val="1"/>
                <w:bCs w:val="1"/>
                <w:sz w:val="20"/>
                <w:szCs w:val="20"/>
                <w:lang w:val="fr-FR"/>
              </w:rPr>
              <w:t>Outcome O6</w:t>
            </w:r>
          </w:p>
        </w:tc>
        <w:tc>
          <w:tcPr>
            <w:tcW w:w="2704" w:type="dxa"/>
            <w:tcBorders>
              <w:top w:val="single" w:color="808080" w:themeColor="background1" w:themeShade="80" w:sz="5" w:space="0"/>
              <w:left w:val="nil"/>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P="61F62BD4" w:rsidRDefault="006A5EBA" w14:paraId="4623940F" w14:textId="77777777">
            <w:pPr>
              <w:spacing w:before="240" w:after="240"/>
              <w:ind w:left="-40"/>
              <w:rPr>
                <w:sz w:val="20"/>
                <w:szCs w:val="20"/>
                <w:lang w:val="fr-FR"/>
              </w:rPr>
            </w:pPr>
            <w:r w:rsidRPr="61F62BD4" w:rsidR="006A5EBA">
              <w:rPr>
                <w:sz w:val="20"/>
                <w:szCs w:val="20"/>
                <w:lang w:val="fr-FR"/>
              </w:rPr>
              <w:t>Circular economy</w:t>
            </w:r>
          </w:p>
        </w:tc>
        <w:tc>
          <w:tcPr>
            <w:tcW w:w="1826" w:type="dxa"/>
            <w:tcBorders>
              <w:top w:val="single" w:color="808080" w:themeColor="background1" w:themeShade="80" w:sz="5" w:space="0"/>
              <w:left w:val="nil"/>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P="61F62BD4" w:rsidRDefault="006A5EBA" w14:paraId="5DF3CE14" w14:textId="77777777">
            <w:pPr>
              <w:spacing w:before="240" w:after="240"/>
              <w:ind w:left="-40"/>
              <w:jc w:val="right"/>
              <w:rPr>
                <w:b w:val="1"/>
                <w:bCs w:val="1"/>
                <w:sz w:val="20"/>
                <w:szCs w:val="20"/>
                <w:lang w:val="fr-FR"/>
              </w:rPr>
            </w:pPr>
            <w:r w:rsidRPr="61F62BD4" w:rsidR="006A5EBA">
              <w:rPr>
                <w:b w:val="1"/>
                <w:bCs w:val="1"/>
                <w:sz w:val="20"/>
                <w:szCs w:val="20"/>
                <w:lang w:val="fr-FR"/>
              </w:rPr>
              <w:t>Starting Date</w:t>
            </w:r>
          </w:p>
        </w:tc>
        <w:tc>
          <w:tcPr>
            <w:tcW w:w="2485" w:type="dxa"/>
            <w:tcBorders>
              <w:top w:val="single" w:color="808080" w:themeColor="background1" w:themeShade="80" w:sz="5" w:space="0"/>
              <w:left w:val="nil"/>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RDefault="006A5EBA" w14:paraId="6D35ABCE" w14:textId="77777777">
            <w:pPr>
              <w:spacing w:before="240" w:after="240"/>
              <w:ind w:left="-40"/>
              <w:rPr>
                <w:sz w:val="20"/>
                <w:szCs w:val="20"/>
              </w:rPr>
            </w:pPr>
            <w:r>
              <w:rPr>
                <w:sz w:val="20"/>
                <w:szCs w:val="20"/>
              </w:rPr>
              <w:t>12/03/2023</w:t>
            </w:r>
          </w:p>
        </w:tc>
      </w:tr>
      <w:tr w:rsidR="00DE3879" w:rsidTr="61F62BD4" w14:paraId="64AFAC8C" w14:textId="77777777">
        <w:trPr>
          <w:trHeight w:val="875"/>
        </w:trPr>
        <w:tc>
          <w:tcPr>
            <w:tcW w:w="2010" w:type="dxa"/>
            <w:tcBorders>
              <w:top w:val="nil"/>
              <w:left w:val="single" w:color="808080" w:themeColor="background1" w:themeShade="80" w:sz="5" w:space="0"/>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P="61F62BD4" w:rsidRDefault="006A5EBA" w14:paraId="6F4CC508" w14:textId="77777777">
            <w:pPr>
              <w:spacing w:before="240" w:after="240"/>
              <w:ind w:left="-40"/>
              <w:jc w:val="right"/>
              <w:rPr>
                <w:b w:val="1"/>
                <w:bCs w:val="1"/>
                <w:sz w:val="20"/>
                <w:szCs w:val="20"/>
                <w:lang w:val="fr-FR"/>
              </w:rPr>
            </w:pPr>
            <w:r w:rsidRPr="61F62BD4" w:rsidR="006A5EBA">
              <w:rPr>
                <w:b w:val="1"/>
                <w:bCs w:val="1"/>
                <w:sz w:val="20"/>
                <w:szCs w:val="20"/>
                <w:lang w:val="fr-FR"/>
              </w:rPr>
              <w:t>Registered contributors</w:t>
            </w:r>
          </w:p>
        </w:tc>
        <w:tc>
          <w:tcPr>
            <w:tcW w:w="2704" w:type="dxa"/>
            <w:tcBorders>
              <w:top w:val="nil"/>
              <w:left w:val="nil"/>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P="61F62BD4" w:rsidRDefault="006A5EBA" w14:paraId="6F2FB5F2" w14:textId="77777777">
            <w:pPr>
              <w:ind w:left="-40"/>
              <w:rPr>
                <w:sz w:val="20"/>
                <w:szCs w:val="20"/>
                <w:lang w:val="fr-FR"/>
              </w:rPr>
            </w:pPr>
            <w:r w:rsidRPr="61F62BD4" w:rsidR="006A5EBA">
              <w:rPr>
                <w:b w:val="1"/>
                <w:bCs w:val="1"/>
                <w:sz w:val="20"/>
                <w:szCs w:val="20"/>
                <w:lang w:val="fr-FR"/>
              </w:rPr>
              <w:t>Frédérique Ferey</w:t>
            </w:r>
            <w:r w:rsidRPr="61F62BD4" w:rsidR="006A5EBA">
              <w:rPr>
                <w:sz w:val="20"/>
                <w:szCs w:val="20"/>
                <w:lang w:val="fr-FR"/>
              </w:rPr>
              <w:t xml:space="preserve"> (CO2)</w:t>
            </w:r>
          </w:p>
          <w:p w:rsidR="00DE3879" w:rsidRDefault="006A5EBA" w14:paraId="1463F070" w14:textId="77777777">
            <w:pPr>
              <w:ind w:left="-40"/>
              <w:rPr>
                <w:sz w:val="20"/>
                <w:szCs w:val="20"/>
              </w:rPr>
            </w:pPr>
            <w:hyperlink r:id="rId5">
              <w:r>
                <w:rPr>
                  <w:color w:val="0000EE"/>
                  <w:u w:val="single"/>
                </w:rPr>
                <w:t>Laura Monteiro</w:t>
              </w:r>
            </w:hyperlink>
            <w:r>
              <w:rPr>
                <w:sz w:val="20"/>
                <w:szCs w:val="20"/>
              </w:rPr>
              <w:t xml:space="preserve"> (A4F / water)</w:t>
            </w:r>
          </w:p>
          <w:p w:rsidR="00DE3879" w:rsidP="61F62BD4" w:rsidRDefault="006A5EBA" w14:paraId="590BC557" w14:textId="77777777">
            <w:pPr>
              <w:ind w:left="-40"/>
              <w:rPr>
                <w:sz w:val="20"/>
                <w:szCs w:val="20"/>
                <w:lang w:val="fr-FR"/>
              </w:rPr>
            </w:pPr>
            <w:r w:rsidRPr="61F62BD4" w:rsidR="006A5EBA">
              <w:rPr>
                <w:sz w:val="20"/>
                <w:szCs w:val="20"/>
                <w:lang w:val="fr-FR"/>
              </w:rPr>
              <w:t>Need expert / leader on bioremediation</w:t>
            </w:r>
          </w:p>
        </w:tc>
        <w:tc>
          <w:tcPr>
            <w:tcW w:w="1826" w:type="dxa"/>
            <w:tcBorders>
              <w:top w:val="nil"/>
              <w:left w:val="nil"/>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P="61F62BD4" w:rsidRDefault="006A5EBA" w14:paraId="339E6D7A" w14:textId="77777777">
            <w:pPr>
              <w:spacing w:before="240" w:after="240"/>
              <w:ind w:left="-40"/>
              <w:jc w:val="right"/>
              <w:rPr>
                <w:b w:val="1"/>
                <w:bCs w:val="1"/>
                <w:sz w:val="20"/>
                <w:szCs w:val="20"/>
                <w:lang w:val="fr-FR"/>
              </w:rPr>
            </w:pPr>
            <w:r w:rsidRPr="61F62BD4" w:rsidR="006A5EBA">
              <w:rPr>
                <w:b w:val="1"/>
                <w:bCs w:val="1"/>
                <w:sz w:val="20"/>
                <w:szCs w:val="20"/>
                <w:lang w:val="fr-FR"/>
              </w:rPr>
              <w:t>1st draft expected for</w:t>
            </w:r>
          </w:p>
        </w:tc>
        <w:tc>
          <w:tcPr>
            <w:tcW w:w="2485" w:type="dxa"/>
            <w:tcBorders>
              <w:top w:val="nil"/>
              <w:left w:val="nil"/>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P="61F62BD4" w:rsidRDefault="006A5EBA" w14:paraId="5FDAB71D" w14:textId="77777777">
            <w:pPr>
              <w:spacing w:before="240" w:after="240"/>
              <w:ind w:left="-40"/>
              <w:rPr>
                <w:sz w:val="20"/>
                <w:szCs w:val="20"/>
                <w:lang w:val="fr-FR"/>
              </w:rPr>
            </w:pPr>
            <w:r w:rsidRPr="61F62BD4" w:rsidR="006A5EBA">
              <w:rPr>
                <w:sz w:val="20"/>
                <w:szCs w:val="20"/>
                <w:lang w:val="fr-FR"/>
              </w:rPr>
              <w:t>1st week of May</w:t>
            </w:r>
          </w:p>
        </w:tc>
      </w:tr>
    </w:tbl>
    <w:p w:rsidR="00DE3879" w:rsidRDefault="006A5EBA" w14:paraId="427B6EF8" w14:textId="77777777">
      <w:pPr>
        <w:spacing w:before="240" w:after="240"/>
        <w:rPr>
          <w:sz w:val="10"/>
          <w:szCs w:val="10"/>
        </w:rPr>
      </w:pPr>
      <w:r>
        <w:rPr>
          <w:sz w:val="10"/>
          <w:szCs w:val="10"/>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DE3879" w:rsidTr="61F62BD4" w14:paraId="4EE72C3E" w14:textId="77777777">
        <w:trPr>
          <w:trHeight w:val="590"/>
        </w:trPr>
        <w:tc>
          <w:tcPr>
            <w:tcW w:w="9025" w:type="dxa"/>
            <w:tcBorders>
              <w:top w:val="single" w:color="808080" w:themeColor="background1" w:themeShade="80" w:sz="5" w:space="0"/>
              <w:left w:val="single" w:color="808080" w:themeColor="background1" w:themeShade="80" w:sz="5" w:space="0"/>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RDefault="006A5EBA" w14:paraId="145D0074" w14:textId="77777777">
            <w:pPr>
              <w:rPr>
                <w:b/>
                <w:sz w:val="20"/>
                <w:szCs w:val="20"/>
              </w:rPr>
            </w:pPr>
            <w:r>
              <w:rPr>
                <w:b/>
                <w:sz w:val="20"/>
                <w:szCs w:val="20"/>
              </w:rPr>
              <w:t>OBJECTIVE</w:t>
            </w:r>
          </w:p>
        </w:tc>
      </w:tr>
      <w:tr w:rsidR="00DE3879" w:rsidTr="61F62BD4" w14:paraId="322D16E9" w14:textId="77777777">
        <w:trPr>
          <w:trHeight w:val="815"/>
        </w:trPr>
        <w:tc>
          <w:tcPr>
            <w:tcW w:w="9025" w:type="dxa"/>
            <w:tcBorders>
              <w:top w:val="nil"/>
              <w:left w:val="single" w:color="808080" w:themeColor="background1" w:themeShade="80" w:sz="5" w:space="0"/>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P="61F62BD4" w:rsidRDefault="006A5EBA" w14:paraId="15993904" w14:textId="77777777">
            <w:pPr>
              <w:rPr>
                <w:rFonts w:ascii="Calibri" w:hAnsi="Calibri" w:eastAsia="Calibri" w:cs="Calibri"/>
                <w:sz w:val="20"/>
                <w:szCs w:val="20"/>
                <w:lang w:val="fr-FR"/>
              </w:rPr>
            </w:pPr>
            <w:r w:rsidRPr="61F62BD4" w:rsidR="006A5EBA">
              <w:rPr>
                <w:rFonts w:ascii="Calibri" w:hAnsi="Calibri" w:eastAsia="Calibri" w:cs="Calibri"/>
                <w:sz w:val="20"/>
                <w:szCs w:val="20"/>
                <w:lang w:val="fr-FR"/>
              </w:rPr>
              <w:t>Need to identify barriers for using waste streams for producing microalgae (CO2, nutrients, water, economics, …)</w:t>
            </w:r>
          </w:p>
        </w:tc>
      </w:tr>
    </w:tbl>
    <w:p w:rsidR="00DE3879" w:rsidRDefault="006A5EBA" w14:paraId="06D4B4ED" w14:textId="77777777">
      <w:pPr>
        <w:spacing w:before="240" w:after="240"/>
      </w:pPr>
      <w: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DE3879" w:rsidTr="61F62BD4" w14:paraId="5531EE06" w14:textId="77777777">
        <w:trPr>
          <w:trHeight w:val="590"/>
          <w:tblHeader/>
        </w:trPr>
        <w:tc>
          <w:tcPr>
            <w:tcW w:w="9025" w:type="dxa"/>
            <w:tcBorders>
              <w:top w:val="single" w:color="808080" w:themeColor="background1" w:themeShade="80" w:sz="5" w:space="0"/>
              <w:left w:val="single" w:color="808080" w:themeColor="background1" w:themeShade="80" w:sz="5" w:space="0"/>
              <w:bottom w:val="single" w:color="808080" w:themeColor="background1" w:themeShade="80" w:sz="5" w:space="0"/>
              <w:right w:val="single" w:color="808080" w:themeColor="background1" w:themeShade="80" w:sz="5" w:space="0"/>
            </w:tcBorders>
            <w:shd w:val="clear" w:color="auto" w:fill="E6E6E6"/>
            <w:tcMar>
              <w:top w:w="100" w:type="dxa"/>
              <w:left w:w="100" w:type="dxa"/>
              <w:bottom w:w="100" w:type="dxa"/>
              <w:right w:w="100" w:type="dxa"/>
            </w:tcMar>
          </w:tcPr>
          <w:p w:rsidR="00DE3879" w:rsidRDefault="006A5EBA" w14:paraId="292D9821" w14:textId="77777777">
            <w:pPr>
              <w:spacing w:line="240" w:lineRule="auto"/>
              <w:rPr>
                <w:b/>
                <w:sz w:val="20"/>
                <w:szCs w:val="20"/>
              </w:rPr>
            </w:pPr>
            <w:r>
              <w:rPr>
                <w:b/>
                <w:sz w:val="20"/>
                <w:szCs w:val="20"/>
              </w:rPr>
              <w:t>CONTENT</w:t>
            </w:r>
          </w:p>
        </w:tc>
      </w:tr>
      <w:tr w:rsidR="00DE3879" w:rsidTr="61F62BD4" w14:paraId="0964AA25" w14:textId="77777777">
        <w:trPr>
          <w:trHeight w:val="1250"/>
        </w:trPr>
        <w:tc>
          <w:tcPr>
            <w:tcW w:w="9025" w:type="dxa"/>
            <w:tcBorders>
              <w:top w:val="nil"/>
              <w:left w:val="single" w:color="808080" w:themeColor="background1" w:themeShade="80" w:sz="5" w:space="0"/>
              <w:bottom w:val="single" w:color="808080" w:themeColor="background1" w:themeShade="80" w:sz="5" w:space="0"/>
              <w:right w:val="single" w:color="808080" w:themeColor="background1" w:themeShade="80" w:sz="5" w:space="0"/>
            </w:tcBorders>
            <w:tcMar>
              <w:top w:w="100" w:type="dxa"/>
              <w:left w:w="100" w:type="dxa"/>
              <w:bottom w:w="100" w:type="dxa"/>
              <w:right w:w="100" w:type="dxa"/>
            </w:tcMar>
          </w:tcPr>
          <w:p w:rsidR="00DE3879" w:rsidP="61F62BD4" w:rsidRDefault="006A5EBA" w14:paraId="77853351" w14:textId="77777777">
            <w:pPr>
              <w:spacing w:line="240" w:lineRule="auto"/>
              <w:rPr>
                <w:sz w:val="20"/>
                <w:szCs w:val="20"/>
                <w:lang w:val="fr-FR"/>
              </w:rPr>
            </w:pPr>
            <w:r w:rsidRPr="61F62BD4" w:rsidR="006A5EBA">
              <w:rPr>
                <w:sz w:val="20"/>
                <w:szCs w:val="20"/>
                <w:lang w:val="fr-FR"/>
              </w:rPr>
              <w:t>List what is allowed to be use in terms of waste streams (wastewater, flue gas…) + link with targeted market</w:t>
            </w:r>
          </w:p>
          <w:p w:rsidR="00DE3879" w:rsidP="61F62BD4" w:rsidRDefault="006A5EBA" w14:paraId="4C0EB425" w14:textId="77777777">
            <w:pPr>
              <w:spacing w:line="240" w:lineRule="auto"/>
              <w:rPr>
                <w:sz w:val="20"/>
                <w:szCs w:val="20"/>
                <w:lang w:val="fr-FR"/>
              </w:rPr>
            </w:pPr>
            <w:r w:rsidRPr="61F62BD4" w:rsidR="006A5EBA">
              <w:rPr>
                <w:sz w:val="20"/>
                <w:szCs w:val="20"/>
                <w:lang w:val="fr-FR"/>
              </w:rPr>
              <w:t>What do we need to improve ? What about carbon credits ?</w:t>
            </w:r>
          </w:p>
          <w:p w:rsidR="00DE3879" w:rsidP="61F62BD4" w:rsidRDefault="006A5EBA" w14:paraId="6B21C3E2" w14:textId="77777777">
            <w:pPr>
              <w:spacing w:line="240" w:lineRule="auto"/>
              <w:rPr>
                <w:sz w:val="20"/>
                <w:szCs w:val="20"/>
                <w:lang w:val="fr-FR"/>
              </w:rPr>
            </w:pPr>
            <w:r w:rsidRPr="61F62BD4" w:rsidR="006A5EBA">
              <w:rPr>
                <w:sz w:val="20"/>
                <w:szCs w:val="20"/>
                <w:lang w:val="fr-FR"/>
              </w:rPr>
              <w:t>Is using waste streams cost effective (economics compared to conventional production) ?</w:t>
            </w:r>
          </w:p>
        </w:tc>
      </w:tr>
    </w:tbl>
    <w:p w:rsidR="00DE3879" w:rsidRDefault="006A5EBA" w14:paraId="75DFF66D" w14:textId="77777777">
      <w:pPr>
        <w:rPr>
          <w:sz w:val="20"/>
          <w:szCs w:val="20"/>
        </w:rPr>
      </w:pPr>
      <w:r>
        <w:t xml:space="preserve"> </w:t>
      </w:r>
    </w:p>
    <w:p w:rsidR="00DE3879" w:rsidRDefault="006A5EBA" w14:paraId="2BFD9B26" w14:textId="77777777">
      <w:pPr>
        <w:rPr>
          <w:b/>
          <w:u w:val="single"/>
        </w:rPr>
      </w:pPr>
      <w:r>
        <w:rPr>
          <w:b/>
          <w:u w:val="single"/>
        </w:rPr>
        <w:t>Introduction</w:t>
      </w:r>
    </w:p>
    <w:p w:rsidR="00DE3879" w:rsidRDefault="006A5EBA" w14:paraId="3B35DBD8" w14:textId="77777777">
      <w:pPr>
        <w:rPr>
          <w:b/>
          <w:u w:val="single"/>
        </w:rPr>
      </w:pPr>
      <w:r>
        <w:rPr>
          <w:b/>
          <w:u w:val="single"/>
        </w:rPr>
        <w:t xml:space="preserve"> </w:t>
      </w:r>
    </w:p>
    <w:p w:rsidR="00DE3879" w:rsidP="61F62BD4" w:rsidRDefault="006A5EBA" w14:paraId="1C3FBB8C" w14:textId="77777777">
      <w:pPr>
        <w:rPr>
          <w:sz w:val="20"/>
          <w:szCs w:val="20"/>
          <w:lang w:val="fr-FR"/>
        </w:rPr>
      </w:pPr>
      <w:r w:rsidRPr="61F62BD4" w:rsidR="006A5EBA">
        <w:rPr>
          <w:sz w:val="20"/>
          <w:szCs w:val="20"/>
          <w:lang w:val="fr-FR"/>
        </w:rPr>
        <w:t>If (micro)algae are envisaged as a tool of huge potential to sustainably remediate waste streams in the future, it is mandatory to completely change the mindset versus this biomass:</w:t>
      </w:r>
    </w:p>
    <w:p w:rsidR="00DE3879" w:rsidP="61F62BD4" w:rsidRDefault="006A5EBA" w14:paraId="540AA7AD" w14:textId="77777777">
      <w:pPr>
        <w:numPr>
          <w:ilvl w:val="0"/>
          <w:numId w:val="2"/>
        </w:numPr>
        <w:rPr>
          <w:sz w:val="20"/>
          <w:szCs w:val="20"/>
          <w:lang w:val="fr-FR"/>
        </w:rPr>
      </w:pPr>
      <w:r w:rsidRPr="61F62BD4" w:rsidR="006A5EBA">
        <w:rPr>
          <w:sz w:val="20"/>
          <w:szCs w:val="20"/>
          <w:lang w:val="fr-FR"/>
        </w:rPr>
        <w:t>Bioremediation of waste streams means Million tons and/or m</w:t>
      </w:r>
      <w:r w:rsidRPr="61F62BD4" w:rsidR="006A5EBA">
        <w:rPr>
          <w:sz w:val="20"/>
          <w:szCs w:val="20"/>
          <w:vertAlign w:val="superscript"/>
          <w:lang w:val="fr-FR"/>
        </w:rPr>
        <w:t xml:space="preserve">3 </w:t>
      </w:r>
      <w:r w:rsidRPr="61F62BD4" w:rsidR="006A5EBA">
        <w:rPr>
          <w:sz w:val="20"/>
          <w:szCs w:val="20"/>
          <w:lang w:val="fr-FR"/>
        </w:rPr>
        <w:t>of exhausted flows to upcycle</w:t>
      </w:r>
    </w:p>
    <w:p w:rsidR="00DE3879" w:rsidP="61F62BD4" w:rsidRDefault="006A5EBA" w14:paraId="37CF6C11" w14:textId="77777777">
      <w:pPr>
        <w:numPr>
          <w:ilvl w:val="0"/>
          <w:numId w:val="2"/>
        </w:numPr>
        <w:rPr>
          <w:sz w:val="20"/>
          <w:szCs w:val="20"/>
          <w:lang w:val="fr-FR"/>
        </w:rPr>
      </w:pPr>
      <w:r w:rsidRPr="61F62BD4" w:rsidR="006A5EBA">
        <w:rPr>
          <w:sz w:val="20"/>
          <w:szCs w:val="20"/>
          <w:lang w:val="fr-FR"/>
        </w:rPr>
        <w:t>Mass markets are mandatory to absorb the so-produced (micro)algae biomass</w:t>
      </w:r>
    </w:p>
    <w:p w:rsidR="00DE3879" w:rsidP="61F62BD4" w:rsidRDefault="006A5EBA" w14:paraId="2B71A84F" w14:textId="77777777">
      <w:pPr>
        <w:numPr>
          <w:ilvl w:val="0"/>
          <w:numId w:val="2"/>
        </w:numPr>
        <w:rPr>
          <w:sz w:val="20"/>
          <w:szCs w:val="20"/>
          <w:lang w:val="fr-FR"/>
        </w:rPr>
      </w:pPr>
      <w:r w:rsidRPr="61F62BD4" w:rsidR="006A5EBA">
        <w:rPr>
          <w:sz w:val="20"/>
          <w:szCs w:val="20"/>
          <w:lang w:val="fr-FR"/>
        </w:rPr>
        <w:t>Feed, food and high-value products cannot be targeted due to market unacceptance for such p</w:t>
      </w:r>
      <w:r w:rsidRPr="61F62BD4" w:rsidR="006A5EBA">
        <w:rPr>
          <w:sz w:val="20"/>
          <w:szCs w:val="20"/>
          <w:lang w:val="fr-FR"/>
        </w:rPr>
        <w:t>roducts issued from secondary streams</w:t>
      </w:r>
    </w:p>
    <w:p w:rsidR="00DE3879" w:rsidP="61F62BD4" w:rsidRDefault="006A5EBA" w14:paraId="4252BA43" w14:textId="77777777">
      <w:pPr>
        <w:numPr>
          <w:ilvl w:val="0"/>
          <w:numId w:val="2"/>
        </w:numPr>
        <w:rPr>
          <w:sz w:val="20"/>
          <w:szCs w:val="20"/>
          <w:lang w:val="fr-FR"/>
        </w:rPr>
      </w:pPr>
      <w:r w:rsidRPr="61F62BD4" w:rsidR="006A5EBA">
        <w:rPr>
          <w:sz w:val="20"/>
          <w:szCs w:val="20"/>
          <w:lang w:val="fr-FR"/>
        </w:rPr>
        <w:t>The produced biomass itself is the unavoidable power of (micro)algae bioremediation because it is a recoverable product, and could balance the upcycle treatment price where competing technologies represent only a cost.</w:t>
      </w:r>
    </w:p>
    <w:p w:rsidR="00DE3879" w:rsidP="61F62BD4" w:rsidRDefault="006A5EBA" w14:paraId="7AC074D4" w14:textId="77777777">
      <w:pPr>
        <w:rPr>
          <w:sz w:val="20"/>
          <w:szCs w:val="20"/>
          <w:lang w:val="fr-FR"/>
        </w:rPr>
      </w:pPr>
      <w:r w:rsidRPr="61F62BD4" w:rsidR="006A5EBA">
        <w:rPr>
          <w:b w:val="1"/>
          <w:bCs w:val="1"/>
          <w:i w:val="1"/>
          <w:iCs w:val="1"/>
          <w:color w:val="5B9BD5"/>
          <w:sz w:val="20"/>
          <w:szCs w:val="20"/>
          <w:lang w:val="fr-FR"/>
        </w:rPr>
        <w:t>Therefore even if the global value chain of (micro)algae for bioremediation is neither ready nor economically viable yet, hindering its high potential as a means for upcycling secondary industrial streams in a near future should be prevented.</w:t>
      </w:r>
    </w:p>
    <w:p w:rsidR="00DE3879" w:rsidRDefault="00DE3879" w14:paraId="444ED6B6" w14:textId="77777777">
      <w:pPr>
        <w:rPr>
          <w:sz w:val="20"/>
          <w:szCs w:val="20"/>
        </w:rPr>
      </w:pPr>
    </w:p>
    <w:p w:rsidR="00DE3879" w:rsidRDefault="00DE3879" w14:paraId="1F8FDAF6" w14:textId="77777777">
      <w:pPr>
        <w:rPr>
          <w:b/>
          <w:i/>
          <w:color w:val="5B9BD5"/>
          <w:sz w:val="20"/>
          <w:szCs w:val="20"/>
        </w:rPr>
      </w:pPr>
    </w:p>
    <w:p w:rsidR="00DE3879" w:rsidP="61F62BD4" w:rsidRDefault="006A5EBA" w14:paraId="6CCFD6D9" w14:textId="77777777">
      <w:pPr>
        <w:rPr>
          <w:sz w:val="20"/>
          <w:szCs w:val="20"/>
          <w:lang w:val="fr-FR"/>
        </w:rPr>
      </w:pPr>
      <w:r w:rsidRPr="61F62BD4" w:rsidR="006A5EBA">
        <w:rPr>
          <w:sz w:val="20"/>
          <w:szCs w:val="20"/>
          <w:lang w:val="fr-FR"/>
        </w:rPr>
        <w:t xml:space="preserve">Need of a </w:t>
      </w:r>
      <w:r w:rsidRPr="61F62BD4" w:rsidR="006A5EBA">
        <w:rPr>
          <w:sz w:val="20"/>
          <w:szCs w:val="20"/>
          <w:lang w:val="fr-FR"/>
        </w:rPr>
        <w:t>market able to absorb the volumes &amp; associated logistic &amp; premium price due to sustainable product</w:t>
      </w:r>
    </w:p>
    <w:p w:rsidR="00DE3879" w:rsidRDefault="006A5EBA" w14:paraId="7C72279B" w14:textId="77777777">
      <w:pPr>
        <w:numPr>
          <w:ilvl w:val="0"/>
          <w:numId w:val="1"/>
        </w:numPr>
        <w:rPr/>
      </w:pPr>
      <w:r w:rsidRPr="61F62BD4" w:rsidR="006A5EBA">
        <w:rPr>
          <w:rFonts w:ascii="Times New Roman" w:hAnsi="Times New Roman" w:eastAsia="Times New Roman" w:cs="Times New Roman"/>
          <w:sz w:val="12"/>
          <w:szCs w:val="12"/>
          <w:lang w:val="fr-FR"/>
        </w:rPr>
        <w:t xml:space="preserve"> </w:t>
      </w:r>
      <w:r w:rsidRPr="61F62BD4" w:rsidR="006A5EBA">
        <w:rPr>
          <w:sz w:val="20"/>
          <w:szCs w:val="20"/>
          <w:lang w:val="fr-FR"/>
        </w:rPr>
        <w:t>BioFuels, BioPlastics</w:t>
      </w:r>
    </w:p>
    <w:p w:rsidR="00DE3879" w:rsidRDefault="006A5EBA" w14:paraId="4266715A" w14:textId="77777777">
      <w:pPr>
        <w:numPr>
          <w:ilvl w:val="0"/>
          <w:numId w:val="1"/>
        </w:numPr>
        <w:rPr/>
      </w:pPr>
      <w:r w:rsidRPr="61F62BD4" w:rsidR="006A5EBA">
        <w:rPr>
          <w:rFonts w:ascii="Times New Roman" w:hAnsi="Times New Roman" w:eastAsia="Times New Roman" w:cs="Times New Roman"/>
          <w:sz w:val="12"/>
          <w:szCs w:val="12"/>
          <w:lang w:val="fr-FR"/>
        </w:rPr>
        <w:t xml:space="preserve"> </w:t>
      </w:r>
      <w:r w:rsidRPr="61F62BD4" w:rsidR="006A5EBA">
        <w:rPr>
          <w:sz w:val="20"/>
          <w:szCs w:val="20"/>
          <w:lang w:val="fr-FR"/>
        </w:rPr>
        <w:t>Biotertilisers: the link with feed &amp; food is closer and needs investigation</w:t>
      </w:r>
    </w:p>
    <w:p w:rsidR="00DE3879" w:rsidRDefault="00DE3879" w14:paraId="6F174FE7" w14:textId="77777777">
      <w:pPr>
        <w:rPr>
          <w:b/>
          <w:i/>
          <w:color w:val="5B9BD5"/>
          <w:sz w:val="20"/>
          <w:szCs w:val="20"/>
        </w:rPr>
      </w:pPr>
    </w:p>
    <w:p w:rsidR="00DE3879" w:rsidP="61F62BD4" w:rsidRDefault="006A5EBA" w14:paraId="6C613253" w14:textId="77777777">
      <w:pPr>
        <w:rPr>
          <w:sz w:val="20"/>
          <w:szCs w:val="20"/>
          <w:lang w:val="fr-FR"/>
        </w:rPr>
      </w:pPr>
      <w:r w:rsidRPr="61F62BD4" w:rsidR="006A5EBA">
        <w:rPr>
          <w:sz w:val="20"/>
          <w:szCs w:val="20"/>
          <w:lang w:val="fr-FR"/>
        </w:rPr>
        <w:t>Choice on autotrophic vs heterotrophic production on bio</w:t>
      </w:r>
      <w:r w:rsidRPr="61F62BD4" w:rsidR="006A5EBA">
        <w:rPr>
          <w:sz w:val="20"/>
          <w:szCs w:val="20"/>
          <w:lang w:val="fr-FR"/>
        </w:rPr>
        <w:t>remediation purpose of liquid streams seems still open. To remediate CO2 gas streams, PBR of high density should be favored.</w:t>
      </w:r>
    </w:p>
    <w:p w:rsidR="00DE3879" w:rsidRDefault="006A5EBA" w14:paraId="67D47916" w14:textId="77777777">
      <w:pPr>
        <w:rPr>
          <w:sz w:val="20"/>
          <w:szCs w:val="20"/>
        </w:rPr>
      </w:pPr>
      <w:r>
        <w:rPr>
          <w:sz w:val="20"/>
          <w:szCs w:val="20"/>
        </w:rPr>
        <w:t xml:space="preserve"> </w:t>
      </w:r>
      <w:r>
        <w:rPr>
          <w:noProof/>
          <w:sz w:val="20"/>
          <w:szCs w:val="20"/>
        </w:rPr>
        <w:drawing>
          <wp:inline distT="114300" distB="114300" distL="114300" distR="114300" wp14:anchorId="140346C4" wp14:editId="5CBE8C4B">
            <wp:extent cx="5731200" cy="207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2070100"/>
                    </a:xfrm>
                    <a:prstGeom prst="rect">
                      <a:avLst/>
                    </a:prstGeom>
                    <a:ln/>
                  </pic:spPr>
                </pic:pic>
              </a:graphicData>
            </a:graphic>
          </wp:inline>
        </w:drawing>
      </w:r>
    </w:p>
    <w:p w:rsidR="00DE3879" w:rsidRDefault="006A5EBA" w14:paraId="5D362039" w14:textId="77777777">
      <w:pPr>
        <w:rPr>
          <w:sz w:val="20"/>
          <w:szCs w:val="20"/>
        </w:rPr>
      </w:pPr>
      <w:r>
        <w:rPr>
          <w:sz w:val="20"/>
          <w:szCs w:val="20"/>
        </w:rPr>
        <w:t xml:space="preserve"> </w:t>
      </w:r>
    </w:p>
    <w:p w:rsidR="00DE3879" w:rsidP="61F62BD4" w:rsidRDefault="006A5EBA" w14:paraId="007F25BE" w14:textId="77777777">
      <w:pPr>
        <w:rPr>
          <w:b w:val="1"/>
          <w:bCs w:val="1"/>
          <w:u w:val="single"/>
          <w:lang w:val="fr-FR"/>
        </w:rPr>
      </w:pPr>
      <w:r w:rsidRPr="61F62BD4" w:rsidR="006A5EBA">
        <w:rPr>
          <w:b w:val="1"/>
          <w:bCs w:val="1"/>
          <w:u w:val="single"/>
          <w:lang w:val="fr-FR"/>
        </w:rPr>
        <w:t>Quality of wastes streams</w:t>
      </w:r>
    </w:p>
    <w:p w:rsidR="00DE3879" w:rsidRDefault="006A5EBA" w14:paraId="28D7A73E" w14:textId="77777777">
      <w:pPr>
        <w:rPr>
          <w:sz w:val="20"/>
          <w:szCs w:val="20"/>
        </w:rPr>
      </w:pPr>
      <w:r>
        <w:rPr>
          <w:sz w:val="20"/>
          <w:szCs w:val="20"/>
        </w:rPr>
        <w:t xml:space="preserve"> </w:t>
      </w:r>
    </w:p>
    <w:p w:rsidR="00DE3879" w:rsidP="61F62BD4" w:rsidRDefault="006A5EBA" w14:paraId="7437B85C" w14:textId="77777777">
      <w:pPr>
        <w:rPr>
          <w:sz w:val="20"/>
          <w:szCs w:val="20"/>
          <w:lang w:val="fr-FR"/>
        </w:rPr>
      </w:pPr>
      <w:r w:rsidRPr="61F62BD4" w:rsidR="006A5EBA">
        <w:rPr>
          <w:sz w:val="20"/>
          <w:szCs w:val="20"/>
          <w:lang w:val="fr-FR"/>
        </w:rPr>
        <w:t>Each waste stream candidate for bioremediation by the use of microalgae growth has its own specifi</w:t>
      </w:r>
      <w:r w:rsidRPr="61F62BD4" w:rsidR="006A5EBA">
        <w:rPr>
          <w:sz w:val="20"/>
          <w:szCs w:val="20"/>
          <w:lang w:val="fr-FR"/>
        </w:rPr>
        <w:t xml:space="preserve">cation and should comply with its own regulation (regional, national, european) on quality criteria and contaminant limits. Therefore a good practice to assess the feasibility of microalgae bioremediation should follow the steps represented here below. </w:t>
      </w:r>
    </w:p>
    <w:p w:rsidR="00DE3879" w:rsidRDefault="006A5EBA" w14:paraId="18A887AA" w14:textId="77777777">
      <w:pPr>
        <w:rPr>
          <w:sz w:val="20"/>
          <w:szCs w:val="20"/>
        </w:rPr>
      </w:pPr>
      <w:r>
        <w:rPr>
          <w:noProof/>
          <w:sz w:val="20"/>
          <w:szCs w:val="20"/>
        </w:rPr>
        <w:drawing>
          <wp:inline distT="114300" distB="114300" distL="114300" distR="114300" wp14:anchorId="151907D8" wp14:editId="7C4EA0D6">
            <wp:extent cx="5731200" cy="165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1651000"/>
                    </a:xfrm>
                    <a:prstGeom prst="rect">
                      <a:avLst/>
                    </a:prstGeom>
                    <a:ln/>
                  </pic:spPr>
                </pic:pic>
              </a:graphicData>
            </a:graphic>
          </wp:inline>
        </w:drawing>
      </w:r>
    </w:p>
    <w:p w:rsidR="00DE3879" w:rsidRDefault="00DE3879" w14:paraId="146945B9" w14:textId="77777777">
      <w:pPr>
        <w:rPr>
          <w:sz w:val="20"/>
          <w:szCs w:val="20"/>
        </w:rPr>
      </w:pPr>
    </w:p>
    <w:p w:rsidR="00DE3879" w:rsidRDefault="00DE3879" w14:paraId="25A49031" w14:textId="77777777">
      <w:pPr>
        <w:rPr>
          <w:sz w:val="20"/>
          <w:szCs w:val="20"/>
        </w:rPr>
      </w:pPr>
    </w:p>
    <w:tbl>
      <w:tblPr>
        <w:tblStyle w:val="a2"/>
        <w:tblW w:w="90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53"/>
        <w:gridCol w:w="2254"/>
        <w:gridCol w:w="2254"/>
        <w:gridCol w:w="2254"/>
      </w:tblGrid>
      <w:tr w:rsidR="00DE3879" w:rsidTr="61F62BD4" w14:paraId="6B469945" w14:textId="77777777">
        <w:trPr>
          <w:trHeight w:val="400"/>
          <w:tblHeader/>
        </w:trPr>
        <w:tc>
          <w:tcPr>
            <w:tcW w:w="9012" w:type="dxa"/>
            <w:gridSpan w:val="4"/>
            <w:shd w:val="clear" w:color="auto" w:fill="auto"/>
            <w:tcMar>
              <w:top w:w="100" w:type="dxa"/>
              <w:left w:w="100" w:type="dxa"/>
              <w:bottom w:w="100" w:type="dxa"/>
              <w:right w:w="100" w:type="dxa"/>
            </w:tcMar>
          </w:tcPr>
          <w:p w:rsidR="00DE3879" w:rsidP="61F62BD4" w:rsidRDefault="006A5EBA" w14:paraId="353C744E" w14:textId="77777777">
            <w:pPr>
              <w:jc w:val="center"/>
              <w:rPr>
                <w:b w:val="1"/>
                <w:bCs w:val="1"/>
                <w:sz w:val="20"/>
                <w:szCs w:val="20"/>
                <w:lang w:val="fr-FR"/>
              </w:rPr>
            </w:pPr>
            <w:r w:rsidRPr="61F62BD4" w:rsidR="006A5EBA">
              <w:rPr>
                <w:b w:val="1"/>
                <w:bCs w:val="1"/>
                <w:sz w:val="20"/>
                <w:szCs w:val="20"/>
                <w:lang w:val="fr-FR"/>
              </w:rPr>
              <w:t>Waste stream</w:t>
            </w:r>
          </w:p>
        </w:tc>
      </w:tr>
      <w:tr w:rsidR="00DE3879" w:rsidTr="61F62BD4" w14:paraId="0123A5FA" w14:textId="77777777">
        <w:trPr>
          <w:tblHeader/>
        </w:trPr>
        <w:tc>
          <w:tcPr>
            <w:tcW w:w="2253" w:type="dxa"/>
            <w:shd w:val="clear" w:color="auto" w:fill="auto"/>
            <w:tcMar>
              <w:top w:w="100" w:type="dxa"/>
              <w:left w:w="100" w:type="dxa"/>
              <w:bottom w:w="100" w:type="dxa"/>
              <w:right w:w="100" w:type="dxa"/>
            </w:tcMar>
          </w:tcPr>
          <w:p w:rsidR="00DE3879" w:rsidP="61F62BD4" w:rsidRDefault="006A5EBA" w14:paraId="0E72CA1B" w14:textId="77777777">
            <w:pPr>
              <w:jc w:val="center"/>
              <w:rPr>
                <w:b w:val="1"/>
                <w:bCs w:val="1"/>
                <w:sz w:val="20"/>
                <w:szCs w:val="20"/>
                <w:lang w:val="fr-FR"/>
              </w:rPr>
            </w:pPr>
            <w:r w:rsidRPr="61F62BD4" w:rsidR="006A5EBA">
              <w:rPr>
                <w:b w:val="1"/>
                <w:bCs w:val="1"/>
                <w:sz w:val="20"/>
                <w:szCs w:val="20"/>
                <w:lang w:val="fr-FR"/>
              </w:rPr>
              <w:t>CO</w:t>
            </w:r>
            <w:r w:rsidRPr="61F62BD4" w:rsidR="006A5EBA">
              <w:rPr>
                <w:b w:val="1"/>
                <w:bCs w:val="1"/>
                <w:sz w:val="20"/>
                <w:szCs w:val="20"/>
                <w:vertAlign w:val="subscript"/>
                <w:lang w:val="fr-FR"/>
              </w:rPr>
              <w:t>2</w:t>
            </w:r>
            <w:r w:rsidRPr="61F62BD4" w:rsidR="006A5EBA">
              <w:rPr>
                <w:b w:val="1"/>
                <w:bCs w:val="1"/>
                <w:sz w:val="20"/>
                <w:szCs w:val="20"/>
                <w:lang w:val="fr-FR"/>
              </w:rPr>
              <w:t xml:space="preserve"> flue gas</w:t>
            </w:r>
          </w:p>
        </w:tc>
        <w:tc>
          <w:tcPr>
            <w:tcW w:w="2253" w:type="dxa"/>
            <w:shd w:val="clear" w:color="auto" w:fill="auto"/>
            <w:tcMar>
              <w:top w:w="100" w:type="dxa"/>
              <w:left w:w="100" w:type="dxa"/>
              <w:bottom w:w="100" w:type="dxa"/>
              <w:right w:w="100" w:type="dxa"/>
            </w:tcMar>
          </w:tcPr>
          <w:p w:rsidR="00DE3879" w:rsidP="61F62BD4" w:rsidRDefault="006A5EBA" w14:paraId="64C01FC9" w14:textId="77777777">
            <w:pPr>
              <w:jc w:val="center"/>
              <w:rPr>
                <w:b w:val="1"/>
                <w:bCs w:val="1"/>
                <w:sz w:val="20"/>
                <w:szCs w:val="20"/>
                <w:lang w:val="fr-FR"/>
              </w:rPr>
            </w:pPr>
            <w:r w:rsidRPr="61F62BD4" w:rsidR="006A5EBA">
              <w:rPr>
                <w:b w:val="1"/>
                <w:bCs w:val="1"/>
                <w:sz w:val="20"/>
                <w:szCs w:val="20"/>
                <w:lang w:val="fr-FR"/>
              </w:rPr>
              <w:t>Industrial wastewater</w:t>
            </w:r>
          </w:p>
        </w:tc>
        <w:tc>
          <w:tcPr>
            <w:tcW w:w="2253" w:type="dxa"/>
            <w:shd w:val="clear" w:color="auto" w:fill="auto"/>
            <w:tcMar>
              <w:top w:w="100" w:type="dxa"/>
              <w:left w:w="100" w:type="dxa"/>
              <w:bottom w:w="100" w:type="dxa"/>
              <w:right w:w="100" w:type="dxa"/>
            </w:tcMar>
          </w:tcPr>
          <w:p w:rsidR="00DE3879" w:rsidP="61F62BD4" w:rsidRDefault="006A5EBA" w14:paraId="399041C7" w14:textId="77777777">
            <w:pPr>
              <w:jc w:val="center"/>
              <w:rPr>
                <w:b w:val="1"/>
                <w:bCs w:val="1"/>
                <w:sz w:val="20"/>
                <w:szCs w:val="20"/>
                <w:lang w:val="fr-FR"/>
              </w:rPr>
            </w:pPr>
            <w:r w:rsidRPr="61F62BD4" w:rsidR="006A5EBA">
              <w:rPr>
                <w:b w:val="1"/>
                <w:bCs w:val="1"/>
                <w:sz w:val="20"/>
                <w:szCs w:val="20"/>
                <w:lang w:val="fr-FR"/>
              </w:rPr>
              <w:t>Urban waste water</w:t>
            </w:r>
          </w:p>
        </w:tc>
        <w:tc>
          <w:tcPr>
            <w:tcW w:w="2253" w:type="dxa"/>
            <w:shd w:val="clear" w:color="auto" w:fill="auto"/>
            <w:tcMar>
              <w:top w:w="100" w:type="dxa"/>
              <w:left w:w="100" w:type="dxa"/>
              <w:bottom w:w="100" w:type="dxa"/>
              <w:right w:w="100" w:type="dxa"/>
            </w:tcMar>
          </w:tcPr>
          <w:p w:rsidR="00DE3879" w:rsidP="61F62BD4" w:rsidRDefault="006A5EBA" w14:paraId="6E384E60" w14:textId="77777777">
            <w:pPr>
              <w:jc w:val="center"/>
              <w:rPr>
                <w:b w:val="1"/>
                <w:bCs w:val="1"/>
                <w:sz w:val="20"/>
                <w:szCs w:val="20"/>
                <w:lang w:val="fr-FR"/>
              </w:rPr>
            </w:pPr>
            <w:r w:rsidRPr="61F62BD4" w:rsidR="006A5EBA">
              <w:rPr>
                <w:b w:val="1"/>
                <w:bCs w:val="1"/>
                <w:sz w:val="20"/>
                <w:szCs w:val="20"/>
                <w:lang w:val="fr-FR"/>
              </w:rPr>
              <w:t>Manure</w:t>
            </w:r>
          </w:p>
        </w:tc>
      </w:tr>
      <w:tr w:rsidR="00DE3879" w:rsidTr="61F62BD4" w14:paraId="3C4D2776" w14:textId="77777777">
        <w:trPr>
          <w:trHeight w:val="400"/>
          <w:tblHeader/>
        </w:trPr>
        <w:tc>
          <w:tcPr>
            <w:tcW w:w="9012" w:type="dxa"/>
            <w:gridSpan w:val="4"/>
            <w:shd w:val="clear" w:color="auto" w:fill="auto"/>
            <w:tcMar>
              <w:top w:w="100" w:type="dxa"/>
              <w:left w:w="100" w:type="dxa"/>
              <w:bottom w:w="100" w:type="dxa"/>
              <w:right w:w="100" w:type="dxa"/>
            </w:tcMar>
          </w:tcPr>
          <w:p w:rsidR="00DE3879" w:rsidP="61F62BD4" w:rsidRDefault="006A5EBA" w14:paraId="4FA306EA" w14:textId="77777777">
            <w:pPr>
              <w:jc w:val="center"/>
              <w:rPr>
                <w:b w:val="1"/>
                <w:bCs w:val="1"/>
                <w:sz w:val="20"/>
                <w:szCs w:val="20"/>
                <w:lang w:val="fr-FR"/>
              </w:rPr>
            </w:pPr>
            <w:r w:rsidRPr="61F62BD4" w:rsidR="006A5EBA">
              <w:rPr>
                <w:b w:val="1"/>
                <w:bCs w:val="1"/>
                <w:sz w:val="20"/>
                <w:szCs w:val="20"/>
                <w:lang w:val="fr-FR"/>
              </w:rPr>
              <w:t>Quality of the waste stream to upcycle</w:t>
            </w:r>
          </w:p>
        </w:tc>
      </w:tr>
      <w:tr w:rsidR="00DE3879" w:rsidTr="61F62BD4" w14:paraId="5FCBC91E" w14:textId="77777777">
        <w:trPr>
          <w:tblHeader/>
        </w:trPr>
        <w:tc>
          <w:tcPr>
            <w:tcW w:w="2253" w:type="dxa"/>
            <w:shd w:val="clear" w:color="auto" w:fill="auto"/>
            <w:tcMar>
              <w:top w:w="100" w:type="dxa"/>
              <w:left w:w="100" w:type="dxa"/>
              <w:bottom w:w="100" w:type="dxa"/>
              <w:right w:w="100" w:type="dxa"/>
            </w:tcMar>
          </w:tcPr>
          <w:p w:rsidR="00DE3879" w:rsidP="61F62BD4" w:rsidRDefault="006A5EBA" w14:paraId="76EFA0BF" w14:textId="77777777">
            <w:pPr>
              <w:rPr>
                <w:sz w:val="20"/>
                <w:szCs w:val="20"/>
                <w:lang w:val="fr-FR"/>
              </w:rPr>
            </w:pPr>
            <w:r w:rsidRPr="61F62BD4" w:rsidR="006A5EBA">
              <w:rPr>
                <w:sz w:val="20"/>
                <w:szCs w:val="20"/>
                <w:lang w:val="fr-FR"/>
              </w:rPr>
              <w:t>The quality of flue gas strongly depends on the type of industry and energy source</w:t>
            </w:r>
          </w:p>
          <w:p w:rsidR="00DE3879" w:rsidP="61F62BD4" w:rsidRDefault="006A5EBA" w14:paraId="61F6B925" w14:textId="77777777">
            <w:pPr>
              <w:rPr>
                <w:sz w:val="20"/>
                <w:szCs w:val="20"/>
                <w:lang w:val="fr-FR"/>
              </w:rPr>
            </w:pPr>
            <w:r w:rsidRPr="61F62BD4" w:rsidR="006A5EBA">
              <w:rPr>
                <w:b w:val="1"/>
                <w:bCs w:val="1"/>
                <w:sz w:val="20"/>
                <w:szCs w:val="20"/>
                <w:lang w:val="fr-FR"/>
              </w:rPr>
              <w:t>A -</w:t>
            </w:r>
            <w:r w:rsidRPr="61F62BD4" w:rsidR="006A5EBA">
              <w:rPr>
                <w:sz w:val="20"/>
                <w:szCs w:val="20"/>
                <w:lang w:val="fr-FR"/>
              </w:rPr>
              <w:t xml:space="preserve"> As received</w:t>
            </w:r>
          </w:p>
          <w:p w:rsidR="00DE3879" w:rsidP="61F62BD4" w:rsidRDefault="006A5EBA" w14:paraId="5129A0B9" w14:textId="77777777">
            <w:pPr>
              <w:ind w:left="141"/>
              <w:rPr>
                <w:sz w:val="20"/>
                <w:szCs w:val="20"/>
                <w:lang w:val="fr-FR"/>
              </w:rPr>
            </w:pPr>
            <w:r w:rsidRPr="61F62BD4" w:rsidR="006A5EBA">
              <w:rPr>
                <w:sz w:val="20"/>
                <w:szCs w:val="20"/>
                <w:lang w:val="fr-FR"/>
              </w:rPr>
              <w:t>Frequent contaminants are SOx, NOx, dust, heavy metals</w:t>
            </w:r>
          </w:p>
          <w:p w:rsidR="00DE3879" w:rsidP="61F62BD4" w:rsidRDefault="006A5EBA" w14:paraId="4507C2B5" w14:textId="77777777">
            <w:pPr>
              <w:rPr>
                <w:sz w:val="20"/>
                <w:szCs w:val="20"/>
                <w:lang w:val="fr-FR"/>
              </w:rPr>
            </w:pPr>
            <w:r w:rsidRPr="61F62BD4" w:rsidR="006A5EBA">
              <w:rPr>
                <w:b w:val="1"/>
                <w:bCs w:val="1"/>
                <w:sz w:val="20"/>
                <w:szCs w:val="20"/>
                <w:lang w:val="fr-FR"/>
              </w:rPr>
              <w:t>B -</w:t>
            </w:r>
            <w:r w:rsidRPr="61F62BD4" w:rsidR="006A5EBA">
              <w:rPr>
                <w:sz w:val="20"/>
                <w:szCs w:val="20"/>
                <w:lang w:val="fr-FR"/>
              </w:rPr>
              <w:t xml:space="preserve"> CO</w:t>
            </w:r>
            <w:r w:rsidRPr="61F62BD4" w:rsidR="006A5EBA">
              <w:rPr>
                <w:sz w:val="20"/>
                <w:szCs w:val="20"/>
                <w:vertAlign w:val="subscript"/>
                <w:lang w:val="fr-FR"/>
              </w:rPr>
              <w:t>2</w:t>
            </w:r>
            <w:r w:rsidRPr="61F62BD4" w:rsidR="006A5EBA">
              <w:rPr>
                <w:sz w:val="20"/>
                <w:szCs w:val="20"/>
                <w:lang w:val="fr-FR"/>
              </w:rPr>
              <w:t xml:space="preserve"> previously separated from flue gas</w:t>
            </w:r>
          </w:p>
          <w:p w:rsidR="00DE3879" w:rsidP="61F62BD4" w:rsidRDefault="006A5EBA" w14:paraId="55C56A00" w14:textId="77777777">
            <w:pPr>
              <w:ind w:left="141"/>
              <w:rPr>
                <w:sz w:val="20"/>
                <w:szCs w:val="20"/>
                <w:lang w:val="fr-FR"/>
              </w:rPr>
            </w:pPr>
            <w:r w:rsidRPr="61F62BD4" w:rsidR="006A5EBA">
              <w:rPr>
                <w:sz w:val="20"/>
                <w:szCs w:val="20"/>
                <w:lang w:val="fr-FR"/>
              </w:rPr>
              <w:t>Remaining contaminants in 0.1% scale</w:t>
            </w:r>
          </w:p>
          <w:p w:rsidR="00DE3879" w:rsidP="61F62BD4" w:rsidRDefault="006A5EBA" w14:paraId="11807073" w14:textId="77777777">
            <w:pPr>
              <w:rPr>
                <w:sz w:val="20"/>
                <w:szCs w:val="20"/>
                <w:lang w:val="fr-FR"/>
              </w:rPr>
            </w:pPr>
            <w:r w:rsidRPr="61F62BD4" w:rsidR="006A5EBA">
              <w:rPr>
                <w:b w:val="1"/>
                <w:bCs w:val="1"/>
                <w:sz w:val="20"/>
                <w:szCs w:val="20"/>
                <w:lang w:val="fr-FR"/>
              </w:rPr>
              <w:t xml:space="preserve">C - </w:t>
            </w:r>
            <w:r w:rsidRPr="61F62BD4" w:rsidR="006A5EBA">
              <w:rPr>
                <w:sz w:val="20"/>
                <w:szCs w:val="20"/>
                <w:lang w:val="fr-FR"/>
              </w:rPr>
              <w:t>CO</w:t>
            </w:r>
            <w:r w:rsidRPr="61F62BD4" w:rsidR="006A5EBA">
              <w:rPr>
                <w:sz w:val="20"/>
                <w:szCs w:val="20"/>
                <w:vertAlign w:val="subscript"/>
                <w:lang w:val="fr-FR"/>
              </w:rPr>
              <w:t>2</w:t>
            </w:r>
            <w:r w:rsidRPr="61F62BD4" w:rsidR="006A5EBA">
              <w:rPr>
                <w:sz w:val="20"/>
                <w:szCs w:val="20"/>
                <w:lang w:val="fr-FR"/>
              </w:rPr>
              <w:t xml:space="preserve"> food grade complies with standard xxx</w:t>
            </w:r>
          </w:p>
        </w:tc>
        <w:tc>
          <w:tcPr>
            <w:tcW w:w="2253" w:type="dxa"/>
            <w:shd w:val="clear" w:color="auto" w:fill="auto"/>
            <w:tcMar>
              <w:top w:w="100" w:type="dxa"/>
              <w:left w:w="100" w:type="dxa"/>
              <w:bottom w:w="100" w:type="dxa"/>
              <w:right w:w="100" w:type="dxa"/>
            </w:tcMar>
          </w:tcPr>
          <w:p w:rsidR="00DE3879" w:rsidP="61F62BD4" w:rsidRDefault="006A5EBA" w14:paraId="07669537" w14:textId="77777777">
            <w:pPr>
              <w:pBdr>
                <w:top w:val="nil" w:color="000000" w:sz="0" w:space="0"/>
                <w:left w:val="nil" w:color="000000" w:sz="0" w:space="0"/>
                <w:bottom w:val="nil" w:color="000000" w:sz="0" w:space="0"/>
                <w:right w:val="nil" w:color="000000" w:sz="0" w:space="0"/>
                <w:between w:val="nil" w:color="000000" w:sz="0" w:space="0"/>
              </w:pBdr>
              <w:rPr>
                <w:sz w:val="20"/>
                <w:szCs w:val="20"/>
                <w:lang w:val="fr-FR"/>
              </w:rPr>
            </w:pPr>
            <w:r w:rsidRPr="61F62BD4" w:rsidR="006A5EBA">
              <w:rPr>
                <w:sz w:val="20"/>
                <w:szCs w:val="20"/>
                <w:lang w:val="fr-FR"/>
              </w:rPr>
              <w:t>The characteristics of industrial wastewaters are highly variable, depending on the type of industry.</w:t>
            </w:r>
          </w:p>
          <w:p w:rsidR="00DE3879" w:rsidP="61F62BD4" w:rsidRDefault="006A5EBA" w14:paraId="0577239E" w14:textId="77777777">
            <w:pPr>
              <w:pBdr>
                <w:top w:val="nil" w:color="000000" w:sz="0" w:space="0"/>
                <w:left w:val="nil" w:color="000000" w:sz="0" w:space="0"/>
                <w:bottom w:val="nil" w:color="000000" w:sz="0" w:space="0"/>
                <w:right w:val="nil" w:color="000000" w:sz="0" w:space="0"/>
                <w:between w:val="nil" w:color="000000" w:sz="0" w:space="0"/>
              </w:pBdr>
              <w:ind w:left="141"/>
              <w:rPr>
                <w:sz w:val="20"/>
                <w:szCs w:val="20"/>
                <w:lang w:val="fr-FR"/>
              </w:rPr>
            </w:pPr>
            <w:r w:rsidRPr="61F62BD4" w:rsidR="006A5EBA">
              <w:rPr>
                <w:sz w:val="20"/>
                <w:szCs w:val="20"/>
                <w:lang w:val="fr-FR"/>
              </w:rPr>
              <w:t>Might contain toxic compounds.</w:t>
            </w:r>
          </w:p>
          <w:p w:rsidR="00DE3879" w:rsidP="61F62BD4" w:rsidRDefault="006A5EBA" w14:paraId="469E268F" w14:textId="77777777">
            <w:pPr>
              <w:pBdr>
                <w:top w:val="nil" w:color="000000" w:sz="0" w:space="0"/>
                <w:left w:val="nil" w:color="000000" w:sz="0" w:space="0"/>
                <w:bottom w:val="nil" w:color="000000" w:sz="0" w:space="0"/>
                <w:right w:val="nil" w:color="000000" w:sz="0" w:space="0"/>
                <w:between w:val="nil" w:color="000000" w:sz="0" w:space="0"/>
              </w:pBdr>
              <w:rPr>
                <w:sz w:val="20"/>
                <w:szCs w:val="20"/>
                <w:lang w:val="fr-FR"/>
              </w:rPr>
            </w:pPr>
            <w:r w:rsidRPr="61F62BD4" w:rsidR="006A5EBA">
              <w:rPr>
                <w:b w:val="1"/>
                <w:bCs w:val="1"/>
                <w:sz w:val="20"/>
                <w:szCs w:val="20"/>
                <w:lang w:val="fr-FR"/>
              </w:rPr>
              <w:t>A -</w:t>
            </w:r>
            <w:r w:rsidRPr="61F62BD4" w:rsidR="006A5EBA">
              <w:rPr>
                <w:sz w:val="20"/>
                <w:szCs w:val="20"/>
                <w:lang w:val="fr-FR"/>
              </w:rPr>
              <w:t xml:space="preserve"> Agro-industrial waste and wastewater</w:t>
            </w:r>
            <w:r w:rsidRPr="61F62BD4" w:rsidR="006A5EBA">
              <w:rPr>
                <w:sz w:val="20"/>
                <w:szCs w:val="20"/>
                <w:lang w:val="fr-FR"/>
              </w:rPr>
              <w:t>s</w:t>
            </w:r>
          </w:p>
          <w:p w:rsidR="00DE3879" w:rsidP="61F62BD4" w:rsidRDefault="006A5EBA" w14:paraId="3C3A24B3" w14:textId="77777777">
            <w:pPr>
              <w:pBdr>
                <w:top w:val="nil" w:color="000000" w:sz="0" w:space="0"/>
                <w:left w:val="nil" w:color="000000" w:sz="0" w:space="0"/>
                <w:bottom w:val="nil" w:color="000000" w:sz="0" w:space="0"/>
                <w:right w:val="nil" w:color="000000" w:sz="0" w:space="0"/>
                <w:between w:val="nil" w:color="000000" w:sz="0" w:space="0"/>
              </w:pBdr>
              <w:rPr>
                <w:sz w:val="20"/>
                <w:szCs w:val="20"/>
                <w:lang w:val="fr-FR"/>
              </w:rPr>
            </w:pPr>
            <w:r w:rsidRPr="61F62BD4" w:rsidR="006A5EBA">
              <w:rPr>
                <w:b w:val="1"/>
                <w:bCs w:val="1"/>
                <w:sz w:val="20"/>
                <w:szCs w:val="20"/>
                <w:lang w:val="fr-FR"/>
              </w:rPr>
              <w:t>B -</w:t>
            </w:r>
            <w:r w:rsidRPr="61F62BD4" w:rsidR="006A5EBA">
              <w:rPr>
                <w:sz w:val="20"/>
                <w:szCs w:val="20"/>
                <w:lang w:val="fr-FR"/>
              </w:rPr>
              <w:t xml:space="preserve"> Orange peel; coffee waste</w:t>
            </w:r>
          </w:p>
          <w:p w:rsidR="00DE3879" w:rsidP="61F62BD4" w:rsidRDefault="006A5EBA" w14:paraId="1D9EBE52" w14:textId="77777777">
            <w:pPr>
              <w:pBdr>
                <w:top w:val="nil" w:color="000000" w:sz="0" w:space="0"/>
                <w:left w:val="nil" w:color="000000" w:sz="0" w:space="0"/>
                <w:bottom w:val="nil" w:color="000000" w:sz="0" w:space="0"/>
                <w:right w:val="nil" w:color="000000" w:sz="0" w:space="0"/>
                <w:between w:val="nil" w:color="000000" w:sz="0" w:space="0"/>
              </w:pBdr>
              <w:rPr>
                <w:sz w:val="20"/>
                <w:szCs w:val="20"/>
                <w:lang w:val="fr-FR"/>
              </w:rPr>
            </w:pPr>
            <w:r w:rsidRPr="61F62BD4" w:rsidR="006A5EBA">
              <w:rPr>
                <w:sz w:val="20"/>
                <w:szCs w:val="20"/>
                <w:lang w:val="fr-FR"/>
              </w:rPr>
              <w:t>and beer manufacturing wastes</w:t>
            </w:r>
          </w:p>
        </w:tc>
        <w:tc>
          <w:tcPr>
            <w:tcW w:w="2253" w:type="dxa"/>
            <w:shd w:val="clear" w:color="auto" w:fill="auto"/>
            <w:tcMar>
              <w:top w:w="100" w:type="dxa"/>
              <w:left w:w="100" w:type="dxa"/>
              <w:bottom w:w="100" w:type="dxa"/>
              <w:right w:w="100" w:type="dxa"/>
            </w:tcMar>
          </w:tcPr>
          <w:p w:rsidR="00DE3879" w:rsidP="61F62BD4" w:rsidRDefault="006A5EBA" w14:paraId="6DF81AB7" w14:textId="77777777">
            <w:pPr>
              <w:rPr>
                <w:sz w:val="20"/>
                <w:szCs w:val="20"/>
                <w:lang w:val="fr-FR"/>
              </w:rPr>
            </w:pPr>
            <w:r w:rsidRPr="61F62BD4" w:rsidR="006A5EBA">
              <w:rPr>
                <w:sz w:val="20"/>
                <w:szCs w:val="20"/>
                <w:lang w:val="fr-FR"/>
              </w:rPr>
              <w:t>Might contain heavy metals, microcontaminants (e.g., pharmaceuticals, persistent chemicals as PFAs.), microplastics.</w:t>
            </w:r>
          </w:p>
        </w:tc>
        <w:tc>
          <w:tcPr>
            <w:tcW w:w="2253" w:type="dxa"/>
            <w:shd w:val="clear" w:color="auto" w:fill="auto"/>
            <w:tcMar>
              <w:top w:w="100" w:type="dxa"/>
              <w:left w:w="100" w:type="dxa"/>
              <w:bottom w:w="100" w:type="dxa"/>
              <w:right w:w="100" w:type="dxa"/>
            </w:tcMar>
          </w:tcPr>
          <w:p w:rsidR="00DE3879" w:rsidRDefault="00DE3879" w14:paraId="6225D0E5" w14:textId="77777777">
            <w:pPr>
              <w:widowControl w:val="0"/>
              <w:pBdr>
                <w:top w:val="nil"/>
                <w:left w:val="nil"/>
                <w:bottom w:val="nil"/>
                <w:right w:val="nil"/>
                <w:between w:val="nil"/>
              </w:pBdr>
              <w:spacing w:line="240" w:lineRule="auto"/>
              <w:rPr>
                <w:sz w:val="20"/>
                <w:szCs w:val="20"/>
              </w:rPr>
            </w:pPr>
          </w:p>
        </w:tc>
      </w:tr>
      <w:tr w:rsidR="00DE3879" w:rsidTr="61F62BD4" w14:paraId="248D119A" w14:textId="77777777">
        <w:trPr>
          <w:trHeight w:val="400"/>
          <w:tblHeader/>
        </w:trPr>
        <w:tc>
          <w:tcPr>
            <w:tcW w:w="9012" w:type="dxa"/>
            <w:gridSpan w:val="4"/>
            <w:shd w:val="clear" w:color="auto" w:fill="auto"/>
            <w:tcMar>
              <w:top w:w="100" w:type="dxa"/>
              <w:left w:w="100" w:type="dxa"/>
              <w:bottom w:w="100" w:type="dxa"/>
              <w:right w:w="100" w:type="dxa"/>
            </w:tcMar>
          </w:tcPr>
          <w:p w:rsidR="00DE3879" w:rsidP="61F62BD4" w:rsidRDefault="006A5EBA" w14:paraId="27EF5B44" w14:textId="77777777">
            <w:pPr>
              <w:jc w:val="center"/>
              <w:rPr>
                <w:sz w:val="20"/>
                <w:szCs w:val="20"/>
                <w:lang w:val="fr-FR"/>
              </w:rPr>
            </w:pPr>
            <w:r w:rsidRPr="61F62BD4" w:rsidR="006A5EBA">
              <w:rPr>
                <w:b w:val="1"/>
                <w:bCs w:val="1"/>
                <w:sz w:val="20"/>
                <w:szCs w:val="20"/>
                <w:lang w:val="fr-FR"/>
              </w:rPr>
              <w:t>Markets</w:t>
            </w:r>
          </w:p>
        </w:tc>
      </w:tr>
      <w:tr w:rsidR="00DE3879" w:rsidTr="61F62BD4" w14:paraId="51066199" w14:textId="77777777">
        <w:trPr>
          <w:trHeight w:val="400"/>
          <w:tblHeader/>
        </w:trPr>
        <w:tc>
          <w:tcPr>
            <w:tcW w:w="9012" w:type="dxa"/>
            <w:gridSpan w:val="4"/>
            <w:shd w:val="clear" w:color="auto" w:fill="auto"/>
            <w:tcMar>
              <w:top w:w="100" w:type="dxa"/>
              <w:left w:w="100" w:type="dxa"/>
              <w:bottom w:w="100" w:type="dxa"/>
              <w:right w:w="100" w:type="dxa"/>
            </w:tcMar>
          </w:tcPr>
          <w:p w:rsidR="00DE3879" w:rsidP="61F62BD4" w:rsidRDefault="006A5EBA" w14:paraId="52E908E0" w14:textId="77777777">
            <w:pPr>
              <w:rPr>
                <w:sz w:val="20"/>
                <w:szCs w:val="20"/>
                <w:lang w:val="fr-FR"/>
              </w:rPr>
            </w:pPr>
            <w:r w:rsidRPr="61F62BD4" w:rsidR="006A5EBA">
              <w:rPr>
                <w:sz w:val="20"/>
                <w:szCs w:val="20"/>
                <w:lang w:val="fr-FR"/>
              </w:rPr>
              <w:t>Biofuels  / bioplastics / biofertilizers</w:t>
            </w:r>
          </w:p>
        </w:tc>
      </w:tr>
      <w:tr w:rsidR="00DE3879" w:rsidTr="61F62BD4" w14:paraId="7D13E910" w14:textId="77777777">
        <w:trPr>
          <w:trHeight w:val="400"/>
          <w:tblHeader/>
        </w:trPr>
        <w:tc>
          <w:tcPr>
            <w:tcW w:w="9012" w:type="dxa"/>
            <w:gridSpan w:val="4"/>
            <w:shd w:val="clear" w:color="auto" w:fill="auto"/>
            <w:tcMar>
              <w:top w:w="100" w:type="dxa"/>
              <w:left w:w="100" w:type="dxa"/>
              <w:bottom w:w="100" w:type="dxa"/>
              <w:right w:w="100" w:type="dxa"/>
            </w:tcMar>
          </w:tcPr>
          <w:p w:rsidR="00DE3879" w:rsidP="61F62BD4" w:rsidRDefault="006A5EBA" w14:paraId="7CDB1DD1" w14:textId="77777777">
            <w:pPr>
              <w:jc w:val="center"/>
              <w:rPr>
                <w:sz w:val="20"/>
                <w:szCs w:val="20"/>
                <w:lang w:val="fr-FR"/>
              </w:rPr>
            </w:pPr>
            <w:r w:rsidRPr="61F62BD4" w:rsidR="006A5EBA">
              <w:rPr>
                <w:b w:val="1"/>
                <w:bCs w:val="1"/>
                <w:sz w:val="20"/>
                <w:szCs w:val="20"/>
                <w:lang w:val="fr-FR"/>
              </w:rPr>
              <w:t>If a stricter quality of the waste stream is required for the targeted market, which kind of pre-treatment would be needed and at which TRL?</w:t>
            </w:r>
          </w:p>
        </w:tc>
      </w:tr>
      <w:tr w:rsidR="00DE3879" w:rsidTr="61F62BD4" w14:paraId="219B1C7D" w14:textId="77777777">
        <w:trPr>
          <w:trHeight w:val="400"/>
          <w:tblHeader/>
        </w:trPr>
        <w:tc>
          <w:tcPr>
            <w:tcW w:w="2253" w:type="dxa"/>
            <w:shd w:val="clear" w:color="auto" w:fill="auto"/>
            <w:tcMar>
              <w:top w:w="100" w:type="dxa"/>
              <w:left w:w="100" w:type="dxa"/>
              <w:bottom w:w="100" w:type="dxa"/>
              <w:right w:w="100" w:type="dxa"/>
            </w:tcMar>
          </w:tcPr>
          <w:p w:rsidR="00DE3879" w:rsidRDefault="00DE3879" w14:paraId="7FE0FAAD" w14:textId="77777777">
            <w:pPr>
              <w:jc w:val="center"/>
              <w:rPr>
                <w:b/>
                <w:sz w:val="20"/>
                <w:szCs w:val="20"/>
              </w:rPr>
            </w:pPr>
          </w:p>
        </w:tc>
        <w:tc>
          <w:tcPr>
            <w:tcW w:w="2253" w:type="dxa"/>
            <w:shd w:val="clear" w:color="auto" w:fill="auto"/>
            <w:tcMar>
              <w:top w:w="100" w:type="dxa"/>
              <w:left w:w="100" w:type="dxa"/>
              <w:bottom w:w="100" w:type="dxa"/>
              <w:right w:w="100" w:type="dxa"/>
            </w:tcMar>
          </w:tcPr>
          <w:p w:rsidR="00DE3879" w:rsidRDefault="00DE3879" w14:paraId="74FDC664" w14:textId="77777777">
            <w:pPr>
              <w:widowControl w:val="0"/>
              <w:pBdr>
                <w:top w:val="nil"/>
                <w:left w:val="nil"/>
                <w:bottom w:val="nil"/>
                <w:right w:val="nil"/>
                <w:between w:val="nil"/>
              </w:pBdr>
              <w:spacing w:line="240" w:lineRule="auto"/>
              <w:rPr>
                <w:sz w:val="20"/>
                <w:szCs w:val="20"/>
              </w:rPr>
            </w:pPr>
          </w:p>
        </w:tc>
        <w:tc>
          <w:tcPr>
            <w:tcW w:w="2253" w:type="dxa"/>
            <w:shd w:val="clear" w:color="auto" w:fill="auto"/>
            <w:tcMar>
              <w:top w:w="100" w:type="dxa"/>
              <w:left w:w="100" w:type="dxa"/>
              <w:bottom w:w="100" w:type="dxa"/>
              <w:right w:w="100" w:type="dxa"/>
            </w:tcMar>
          </w:tcPr>
          <w:p w:rsidR="00DE3879" w:rsidRDefault="00DE3879" w14:paraId="46B0DACC" w14:textId="77777777">
            <w:pPr>
              <w:widowControl w:val="0"/>
              <w:pBdr>
                <w:top w:val="nil"/>
                <w:left w:val="nil"/>
                <w:bottom w:val="nil"/>
                <w:right w:val="nil"/>
                <w:between w:val="nil"/>
              </w:pBdr>
              <w:spacing w:line="240" w:lineRule="auto"/>
              <w:rPr>
                <w:sz w:val="20"/>
                <w:szCs w:val="20"/>
              </w:rPr>
            </w:pPr>
          </w:p>
        </w:tc>
        <w:tc>
          <w:tcPr>
            <w:tcW w:w="2253" w:type="dxa"/>
            <w:shd w:val="clear" w:color="auto" w:fill="auto"/>
            <w:tcMar>
              <w:top w:w="100" w:type="dxa"/>
              <w:left w:w="100" w:type="dxa"/>
              <w:bottom w:w="100" w:type="dxa"/>
              <w:right w:w="100" w:type="dxa"/>
            </w:tcMar>
          </w:tcPr>
          <w:p w:rsidR="00DE3879" w:rsidRDefault="00DE3879" w14:paraId="09C69051" w14:textId="77777777">
            <w:pPr>
              <w:widowControl w:val="0"/>
              <w:pBdr>
                <w:top w:val="nil"/>
                <w:left w:val="nil"/>
                <w:bottom w:val="nil"/>
                <w:right w:val="nil"/>
                <w:between w:val="nil"/>
              </w:pBdr>
              <w:spacing w:line="240" w:lineRule="auto"/>
              <w:rPr>
                <w:sz w:val="20"/>
                <w:szCs w:val="20"/>
              </w:rPr>
            </w:pPr>
          </w:p>
        </w:tc>
      </w:tr>
      <w:tr w:rsidR="00DE3879" w:rsidTr="61F62BD4" w14:paraId="6D7C2471" w14:textId="77777777">
        <w:trPr>
          <w:trHeight w:val="400"/>
        </w:trPr>
        <w:tc>
          <w:tcPr>
            <w:tcW w:w="9012" w:type="dxa"/>
            <w:gridSpan w:val="4"/>
            <w:shd w:val="clear" w:color="auto" w:fill="auto"/>
            <w:tcMar>
              <w:top w:w="100" w:type="dxa"/>
              <w:left w:w="100" w:type="dxa"/>
              <w:bottom w:w="100" w:type="dxa"/>
              <w:right w:w="100" w:type="dxa"/>
            </w:tcMar>
          </w:tcPr>
          <w:p w:rsidR="00DE3879" w:rsidP="61F62BD4" w:rsidRDefault="006A5EBA" w14:paraId="56A0AF91" w14:textId="77777777">
            <w:pPr>
              <w:jc w:val="center"/>
              <w:rPr>
                <w:sz w:val="20"/>
                <w:szCs w:val="20"/>
                <w:lang w:val="fr-FR"/>
              </w:rPr>
            </w:pPr>
            <w:r w:rsidRPr="61F62BD4" w:rsidR="006A5EBA">
              <w:rPr>
                <w:b w:val="1"/>
                <w:bCs w:val="1"/>
                <w:sz w:val="20"/>
                <w:szCs w:val="20"/>
                <w:lang w:val="fr-FR"/>
              </w:rPr>
              <w:t>Do competing technologies exist for the same waste stream upcycling, and at which cost?</w:t>
            </w:r>
          </w:p>
        </w:tc>
      </w:tr>
      <w:tr w:rsidR="00DE3879" w:rsidTr="61F62BD4" w14:paraId="30F5133F" w14:textId="77777777">
        <w:tc>
          <w:tcPr>
            <w:tcW w:w="2253" w:type="dxa"/>
            <w:shd w:val="clear" w:color="auto" w:fill="auto"/>
            <w:tcMar>
              <w:top w:w="100" w:type="dxa"/>
              <w:left w:w="100" w:type="dxa"/>
              <w:bottom w:w="100" w:type="dxa"/>
              <w:right w:w="100" w:type="dxa"/>
            </w:tcMar>
          </w:tcPr>
          <w:p w:rsidR="00DE3879" w:rsidRDefault="00DE3879" w14:paraId="4E8EE9ED" w14:textId="77777777">
            <w:pPr>
              <w:jc w:val="center"/>
              <w:rPr>
                <w:b/>
                <w:sz w:val="20"/>
                <w:szCs w:val="20"/>
              </w:rPr>
            </w:pPr>
          </w:p>
        </w:tc>
        <w:tc>
          <w:tcPr>
            <w:tcW w:w="2253" w:type="dxa"/>
            <w:shd w:val="clear" w:color="auto" w:fill="auto"/>
            <w:tcMar>
              <w:top w:w="100" w:type="dxa"/>
              <w:left w:w="100" w:type="dxa"/>
              <w:bottom w:w="100" w:type="dxa"/>
              <w:right w:w="100" w:type="dxa"/>
            </w:tcMar>
          </w:tcPr>
          <w:p w:rsidR="00DE3879" w:rsidRDefault="00DE3879" w14:paraId="5BB11212" w14:textId="77777777">
            <w:pPr>
              <w:widowControl w:val="0"/>
              <w:pBdr>
                <w:top w:val="nil"/>
                <w:left w:val="nil"/>
                <w:bottom w:val="nil"/>
                <w:right w:val="nil"/>
                <w:between w:val="nil"/>
              </w:pBdr>
              <w:spacing w:line="240" w:lineRule="auto"/>
              <w:rPr>
                <w:sz w:val="20"/>
                <w:szCs w:val="20"/>
              </w:rPr>
            </w:pPr>
          </w:p>
        </w:tc>
        <w:tc>
          <w:tcPr>
            <w:tcW w:w="2253" w:type="dxa"/>
            <w:shd w:val="clear" w:color="auto" w:fill="auto"/>
            <w:tcMar>
              <w:top w:w="100" w:type="dxa"/>
              <w:left w:w="100" w:type="dxa"/>
              <w:bottom w:w="100" w:type="dxa"/>
              <w:right w:w="100" w:type="dxa"/>
            </w:tcMar>
          </w:tcPr>
          <w:p w:rsidR="00DE3879" w:rsidRDefault="00DE3879" w14:paraId="330F28BD" w14:textId="77777777">
            <w:pPr>
              <w:widowControl w:val="0"/>
              <w:pBdr>
                <w:top w:val="nil"/>
                <w:left w:val="nil"/>
                <w:bottom w:val="nil"/>
                <w:right w:val="nil"/>
                <w:between w:val="nil"/>
              </w:pBdr>
              <w:spacing w:line="240" w:lineRule="auto"/>
              <w:rPr>
                <w:sz w:val="20"/>
                <w:szCs w:val="20"/>
              </w:rPr>
            </w:pPr>
          </w:p>
        </w:tc>
        <w:tc>
          <w:tcPr>
            <w:tcW w:w="2253" w:type="dxa"/>
            <w:shd w:val="clear" w:color="auto" w:fill="auto"/>
            <w:tcMar>
              <w:top w:w="100" w:type="dxa"/>
              <w:left w:w="100" w:type="dxa"/>
              <w:bottom w:w="100" w:type="dxa"/>
              <w:right w:w="100" w:type="dxa"/>
            </w:tcMar>
          </w:tcPr>
          <w:p w:rsidR="00DE3879" w:rsidRDefault="00DE3879" w14:paraId="679A9939" w14:textId="77777777">
            <w:pPr>
              <w:widowControl w:val="0"/>
              <w:pBdr>
                <w:top w:val="nil"/>
                <w:left w:val="nil"/>
                <w:bottom w:val="nil"/>
                <w:right w:val="nil"/>
                <w:between w:val="nil"/>
              </w:pBdr>
              <w:spacing w:line="240" w:lineRule="auto"/>
              <w:rPr>
                <w:sz w:val="20"/>
                <w:szCs w:val="20"/>
              </w:rPr>
            </w:pPr>
          </w:p>
        </w:tc>
      </w:tr>
    </w:tbl>
    <w:p w:rsidR="00DE3879" w:rsidRDefault="00DE3879" w14:paraId="44F0352C" w14:textId="77777777">
      <w:pPr>
        <w:rPr>
          <w:sz w:val="20"/>
          <w:szCs w:val="20"/>
        </w:rPr>
      </w:pPr>
    </w:p>
    <w:p w:rsidR="00DE3879" w:rsidRDefault="006A5EBA" w14:paraId="4E34B84B" w14:textId="77777777">
      <w:pPr>
        <w:rPr>
          <w:sz w:val="20"/>
          <w:szCs w:val="20"/>
        </w:rPr>
      </w:pPr>
      <w:r>
        <w:rPr>
          <w:sz w:val="20"/>
          <w:szCs w:val="20"/>
        </w:rPr>
        <w:t xml:space="preserve">  </w:t>
      </w:r>
    </w:p>
    <w:p w:rsidR="00DE3879" w:rsidRDefault="006A5EBA" w14:paraId="578EF0E2" w14:textId="77777777">
      <w:pPr>
        <w:rPr>
          <w:sz w:val="20"/>
          <w:szCs w:val="20"/>
        </w:rPr>
      </w:pPr>
      <w:r>
        <w:rPr>
          <w:sz w:val="20"/>
          <w:szCs w:val="20"/>
        </w:rPr>
        <w:t xml:space="preserve"> </w:t>
      </w:r>
    </w:p>
    <w:p w:rsidR="00DE3879" w:rsidP="61F62BD4" w:rsidRDefault="006A5EBA" w14:paraId="21BBED90" w14:textId="77777777">
      <w:pPr>
        <w:rPr>
          <w:b w:val="1"/>
          <w:bCs w:val="1"/>
          <w:u w:val="single"/>
          <w:lang w:val="fr-FR"/>
        </w:rPr>
      </w:pPr>
      <w:r w:rsidRPr="61F62BD4" w:rsidR="006A5EBA">
        <w:rPr>
          <w:b w:val="1"/>
          <w:bCs w:val="1"/>
          <w:u w:val="single"/>
          <w:lang w:val="fr-FR"/>
        </w:rPr>
        <w:t>Blocking point(s) for upscale to industrial facility</w:t>
      </w:r>
    </w:p>
    <w:p w:rsidR="00DE3879" w:rsidRDefault="006A5EBA" w14:paraId="41957086" w14:textId="77777777">
      <w:pPr>
        <w:rPr>
          <w:sz w:val="20"/>
          <w:szCs w:val="20"/>
        </w:rPr>
      </w:pPr>
      <w:r>
        <w:rPr>
          <w:sz w:val="20"/>
          <w:szCs w:val="20"/>
        </w:rPr>
        <w:t xml:space="preserve"> </w:t>
      </w:r>
    </w:p>
    <w:p w:rsidR="00DE3879" w:rsidRDefault="006A5EBA" w14:paraId="1D0A9BE6" w14:textId="77777777">
      <w:r w:rsidRPr="61F62BD4" w:rsidR="006A5EBA">
        <w:rPr>
          <w:lang w:val="fr-FR"/>
        </w:rPr>
        <w:t>1 - Quality of produced biomass</w:t>
      </w:r>
    </w:p>
    <w:p w:rsidR="00DE3879" w:rsidP="61F62BD4" w:rsidRDefault="006A5EBA" w14:paraId="3B0B8A84" w14:textId="77777777">
      <w:pPr>
        <w:rPr>
          <w:sz w:val="20"/>
          <w:szCs w:val="20"/>
          <w:lang w:val="fr-FR"/>
        </w:rPr>
      </w:pPr>
      <w:r w:rsidRPr="61F62BD4" w:rsidR="006A5EBA">
        <w:rPr>
          <w:sz w:val="20"/>
          <w:szCs w:val="20"/>
          <w:lang w:val="fr-FR"/>
        </w:rPr>
        <w:t>Which quality is really needed if feed &amp; food markets are not addressed?</w:t>
      </w:r>
    </w:p>
    <w:p w:rsidR="00DE3879" w:rsidRDefault="006A5EBA" w14:paraId="44CDBA20" w14:textId="77777777">
      <w:pPr>
        <w:rPr>
          <w:sz w:val="20"/>
          <w:szCs w:val="20"/>
        </w:rPr>
      </w:pPr>
      <w:r>
        <w:rPr>
          <w:sz w:val="20"/>
          <w:szCs w:val="20"/>
        </w:rPr>
        <w:t xml:space="preserve"> </w:t>
      </w:r>
    </w:p>
    <w:p w:rsidR="00DE3879" w:rsidRDefault="006A5EBA" w14:paraId="236A451A" w14:textId="77777777">
      <w:pPr>
        <w:rPr>
          <w:sz w:val="20"/>
          <w:szCs w:val="20"/>
        </w:rPr>
      </w:pPr>
      <w:r>
        <w:rPr>
          <w:sz w:val="20"/>
          <w:szCs w:val="20"/>
        </w:rPr>
        <w:t xml:space="preserve"> </w:t>
      </w:r>
    </w:p>
    <w:p w:rsidR="00DE3879" w:rsidRDefault="006A5EBA" w14:paraId="3EE9CA5E" w14:textId="77777777">
      <w:pPr>
        <w:rPr>
          <w:sz w:val="20"/>
          <w:szCs w:val="20"/>
        </w:rPr>
      </w:pPr>
      <w:r>
        <w:rPr>
          <w:sz w:val="20"/>
          <w:szCs w:val="20"/>
        </w:rPr>
        <w:t xml:space="preserve"> </w:t>
      </w:r>
    </w:p>
    <w:p w:rsidR="00DE3879" w:rsidRDefault="006A5EBA" w14:paraId="2A053C69" w14:textId="77777777">
      <w:r w:rsidRPr="61F62BD4" w:rsidR="006A5EBA">
        <w:rPr>
          <w:lang w:val="fr-FR"/>
        </w:rPr>
        <w:t>2 - Market &amp; economics</w:t>
      </w:r>
    </w:p>
    <w:p w:rsidR="00DE3879" w:rsidP="61F62BD4" w:rsidRDefault="006A5EBA" w14:paraId="25EB4DD4" w14:textId="77777777">
      <w:pPr>
        <w:rPr>
          <w:sz w:val="20"/>
          <w:szCs w:val="20"/>
          <w:lang w:val="fr-FR"/>
        </w:rPr>
      </w:pPr>
      <w:r w:rsidRPr="61F62BD4" w:rsidR="006A5EBA">
        <w:rPr>
          <w:sz w:val="20"/>
          <w:szCs w:val="20"/>
          <w:lang w:val="fr-FR"/>
        </w:rPr>
        <w:t>Emphasize on explanation of the premium price (circular economy between industries, upcycling of by-products, commodity products that do not offer today any sustainable alternative) especially for JetFuel as an example of the more mature market to come</w:t>
      </w:r>
    </w:p>
    <w:p w:rsidR="00DE3879" w:rsidRDefault="006A5EBA" w14:paraId="4F159502" w14:textId="77777777">
      <w:pPr>
        <w:rPr>
          <w:sz w:val="20"/>
          <w:szCs w:val="20"/>
        </w:rPr>
      </w:pPr>
      <w:r>
        <w:rPr>
          <w:sz w:val="20"/>
          <w:szCs w:val="20"/>
        </w:rPr>
        <w:t xml:space="preserve"> </w:t>
      </w:r>
    </w:p>
    <w:p w:rsidR="00DE3879" w:rsidRDefault="006A5EBA" w14:paraId="0A024326" w14:textId="77777777">
      <w:pPr>
        <w:rPr>
          <w:sz w:val="20"/>
          <w:szCs w:val="20"/>
        </w:rPr>
      </w:pPr>
      <w:r>
        <w:rPr>
          <w:sz w:val="20"/>
          <w:szCs w:val="20"/>
        </w:rPr>
        <w:t xml:space="preserve"> </w:t>
      </w:r>
    </w:p>
    <w:p w:rsidR="00DE3879" w:rsidRDefault="006A5EBA" w14:paraId="13D6BEFB" w14:textId="77777777">
      <w:r w:rsidRPr="61F62BD4" w:rsidR="006A5EBA">
        <w:rPr>
          <w:lang w:val="fr-FR"/>
        </w:rPr>
        <w:t>3 - European regulation</w:t>
      </w:r>
    </w:p>
    <w:p w:rsidR="00DE3879" w:rsidP="61F62BD4" w:rsidRDefault="006A5EBA" w14:paraId="3069632C" w14:textId="77777777">
      <w:pPr>
        <w:rPr>
          <w:i w:val="1"/>
          <w:iCs w:val="1"/>
          <w:sz w:val="20"/>
          <w:szCs w:val="20"/>
          <w:lang w:val="fr-FR"/>
        </w:rPr>
      </w:pPr>
      <w:r w:rsidRPr="61F62BD4" w:rsidR="006A5EBA">
        <w:rPr>
          <w:i w:val="1"/>
          <w:iCs w:val="1"/>
          <w:color w:val="1F1F1F"/>
          <w:sz w:val="20"/>
          <w:szCs w:val="20"/>
          <w:lang w:val="fr-FR"/>
        </w:rPr>
        <w:t>FRANCISCO GABRIEL ACIEN FERNANDEZ</w:t>
      </w:r>
      <w:r w:rsidRPr="61F62BD4" w:rsidR="006A5EBA">
        <w:rPr>
          <w:i w:val="1"/>
          <w:iCs w:val="1"/>
          <w:sz w:val="20"/>
          <w:szCs w:val="20"/>
          <w:lang w:val="fr-FR"/>
        </w:rPr>
        <w:t>:</w:t>
      </w:r>
    </w:p>
    <w:p w:rsidR="00DE3879" w:rsidP="61F62BD4" w:rsidRDefault="006A5EBA" w14:paraId="560E6D78" w14:textId="77777777">
      <w:pPr>
        <w:rPr>
          <w:sz w:val="20"/>
          <w:szCs w:val="20"/>
          <w:lang w:val="fr-FR"/>
        </w:rPr>
      </w:pPr>
      <w:r w:rsidRPr="61F62BD4" w:rsidR="006A5EBA">
        <w:rPr>
          <w:sz w:val="20"/>
          <w:szCs w:val="20"/>
          <w:lang w:val="fr-FR"/>
        </w:rPr>
        <w:t xml:space="preserve"> “</w:t>
      </w:r>
      <w:r w:rsidRPr="61F62BD4" w:rsidR="006A5EBA">
        <w:rPr>
          <w:rFonts w:ascii="Calibri" w:hAnsi="Calibri" w:eastAsia="Calibri" w:cs="Calibri"/>
          <w:i w:val="1"/>
          <w:iCs w:val="1"/>
          <w:color w:val="1F497D" w:themeColor="text2" w:themeTint="FF" w:themeShade="FF"/>
          <w:sz w:val="20"/>
          <w:szCs w:val="20"/>
          <w:highlight w:val="white"/>
          <w:lang w:val="fr-FR"/>
        </w:rPr>
        <w:t>The major limitation is regulation because the waste declaration avoids the reuse of waste streams. If the waste declaration is removed it would be possible to use it. However, still, some addit</w:t>
      </w:r>
      <w:r w:rsidRPr="61F62BD4" w:rsidR="006A5EBA">
        <w:rPr>
          <w:rFonts w:ascii="Calibri" w:hAnsi="Calibri" w:eastAsia="Calibri" w:cs="Calibri"/>
          <w:i w:val="1"/>
          <w:iCs w:val="1"/>
          <w:color w:val="1F497D" w:themeColor="text2" w:themeTint="FF" w:themeShade="FF"/>
          <w:sz w:val="20"/>
          <w:szCs w:val="20"/>
          <w:highlight w:val="white"/>
          <w:lang w:val="fr-FR"/>
        </w:rPr>
        <w:t xml:space="preserve">ional limitations remain because in some applications the use of residuals to produce biomass is not allowed, as in the feed </w:t>
      </w:r>
      <w:commentRangeStart w:id="1"/>
      <w:r w:rsidRPr="61F62BD4" w:rsidR="006A5EBA">
        <w:rPr>
          <w:rFonts w:ascii="Calibri" w:hAnsi="Calibri" w:eastAsia="Calibri" w:cs="Calibri"/>
          <w:i w:val="1"/>
          <w:iCs w:val="1"/>
          <w:color w:val="1F497D" w:themeColor="text2" w:themeTint="FF" w:themeShade="FF"/>
          <w:sz w:val="20"/>
          <w:szCs w:val="20"/>
          <w:highlight w:val="white"/>
          <w:lang w:val="fr-FR"/>
        </w:rPr>
        <w:t>sector</w:t>
      </w:r>
      <w:commentRangeEnd w:id="1"/>
      <w:r>
        <w:rPr>
          <w:rStyle w:val="CommentReference"/>
        </w:rPr>
        <w:commentReference w:id="1"/>
      </w:r>
      <w:r w:rsidRPr="61F62BD4" w:rsidR="006A5EBA">
        <w:rPr>
          <w:rFonts w:ascii="Calibri" w:hAnsi="Calibri" w:eastAsia="Calibri" w:cs="Calibri"/>
          <w:i w:val="1"/>
          <w:iCs w:val="1"/>
          <w:color w:val="1F497D" w:themeColor="text2" w:themeTint="FF" w:themeShade="FF"/>
          <w:sz w:val="20"/>
          <w:szCs w:val="20"/>
          <w:highlight w:val="white"/>
          <w:lang w:val="fr-FR"/>
        </w:rPr>
        <w:t>. The only option is for materials/chemicals and agriculture-related applications, of course also biofuels but it is not e</w:t>
      </w:r>
      <w:r w:rsidRPr="61F62BD4" w:rsidR="006A5EBA">
        <w:rPr>
          <w:rFonts w:ascii="Calibri" w:hAnsi="Calibri" w:eastAsia="Calibri" w:cs="Calibri"/>
          <w:i w:val="1"/>
          <w:iCs w:val="1"/>
          <w:color w:val="1F497D" w:themeColor="text2" w:themeTint="FF" w:themeShade="FF"/>
          <w:sz w:val="20"/>
          <w:szCs w:val="20"/>
          <w:highlight w:val="white"/>
          <w:lang w:val="fr-FR"/>
        </w:rPr>
        <w:t>conomically feasible at this moment</w:t>
      </w:r>
      <w:r w:rsidRPr="61F62BD4" w:rsidR="006A5EBA">
        <w:rPr>
          <w:rFonts w:ascii="Calibri" w:hAnsi="Calibri" w:eastAsia="Calibri" w:cs="Calibri"/>
          <w:color w:val="1F497D" w:themeColor="text2" w:themeTint="FF" w:themeShade="FF"/>
          <w:sz w:val="20"/>
          <w:szCs w:val="20"/>
          <w:highlight w:val="white"/>
          <w:lang w:val="fr-FR"/>
        </w:rPr>
        <w:t>.</w:t>
      </w:r>
      <w:r w:rsidRPr="61F62BD4" w:rsidR="006A5EBA">
        <w:rPr>
          <w:sz w:val="20"/>
          <w:szCs w:val="20"/>
          <w:lang w:val="fr-FR"/>
        </w:rPr>
        <w:t>”</w:t>
      </w:r>
    </w:p>
    <w:p w:rsidR="00DE3879" w:rsidP="61F62BD4" w:rsidRDefault="006A5EBA" w14:paraId="028A704F" w14:textId="77777777">
      <w:pPr>
        <w:rPr>
          <w:sz w:val="16"/>
          <w:szCs w:val="16"/>
          <w:lang w:val="fr-FR"/>
        </w:rPr>
      </w:pPr>
      <w:r w:rsidRPr="61F62BD4" w:rsidR="006A5EBA">
        <w:rPr>
          <w:sz w:val="20"/>
          <w:szCs w:val="20"/>
          <w:lang w:val="fr-FR"/>
        </w:rPr>
        <w:t>Key question: would the waste streams (gas/liquid) be concerned by the end of stream regulation if a new product is produced?</w:t>
      </w:r>
    </w:p>
    <w:sectPr w:rsidR="00DE3879">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 w:author="Frédérique FEREY" w:date="2023-04-27T09:12:00Z" w:id="1">
    <w:p w:rsidR="00DE3879" w:rsidRDefault="006A5EBA" w14:paraId="6F7D3ADC" w14:textId="77777777">
      <w:pPr>
        <w:widowControl w:val="0"/>
        <w:pBdr>
          <w:top w:val="nil"/>
          <w:left w:val="nil"/>
          <w:bottom w:val="nil"/>
          <w:right w:val="nil"/>
          <w:between w:val="nil"/>
        </w:pBdr>
        <w:spacing w:line="240" w:lineRule="auto"/>
        <w:rPr>
          <w:color w:val="000000"/>
        </w:rPr>
      </w:pPr>
      <w:r>
        <w:rPr>
          <w:color w:val="000000"/>
        </w:rPr>
        <w:t>and what about in other sectors?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D3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D3ADC" w16cid:durableId="280532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D79B6"/>
    <w:multiLevelType w:val="multilevel"/>
    <w:tmpl w:val="10D04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320153"/>
    <w:multiLevelType w:val="multilevel"/>
    <w:tmpl w:val="F61C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79"/>
    <w:rsid w:val="006A5EBA"/>
    <w:rsid w:val="00DE3879"/>
    <w:rsid w:val="4DBEB98D"/>
    <w:rsid w:val="61F62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411C"/>
  <w15:docId w15:val="{0C90DD93-A395-4D69-B516-78216020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A5EBA"/>
    <w:pPr>
      <w:spacing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6A5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aura.monteiro@a4f.pt" TargetMode="External"/><Relationship Id="rId15" Type="http://schemas.openxmlformats.org/officeDocument/2006/relationships/customXml" Target="../customXml/item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D71D5AB941C4C9578857F90433CF6" ma:contentTypeVersion="8" ma:contentTypeDescription="Ein neues Dokument erstellen." ma:contentTypeScope="" ma:versionID="1415b1275706119908d106ce4714abc5">
  <xsd:schema xmlns:xsd="http://www.w3.org/2001/XMLSchema" xmlns:xs="http://www.w3.org/2001/XMLSchema" xmlns:p="http://schemas.microsoft.com/office/2006/metadata/properties" xmlns:ns2="5cb77894-7a51-47c1-8c67-14c49555923e" targetNamespace="http://schemas.microsoft.com/office/2006/metadata/properties" ma:root="true" ma:fieldsID="0446b31d47a230c48d5e79b81eb3d994" ns2:_="">
    <xsd:import namespace="5cb77894-7a51-47c1-8c67-14c4955592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77894-7a51-47c1-8c67-14c495559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5BD6F-EDD4-436D-B022-2795A1D3FC9D}"/>
</file>

<file path=customXml/itemProps2.xml><?xml version="1.0" encoding="utf-8"?>
<ds:datastoreItem xmlns:ds="http://schemas.openxmlformats.org/officeDocument/2006/customXml" ds:itemID="{9E70B2A6-0C1A-484B-AC6A-B52D6E448205}"/>
</file>

<file path=customXml/itemProps3.xml><?xml version="1.0" encoding="utf-8"?>
<ds:datastoreItem xmlns:ds="http://schemas.openxmlformats.org/officeDocument/2006/customXml" ds:itemID="{97EF3EC1-4D73-4A31-9A38-2927832EDD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Ferey Frederique</dc:creator>
  <cp:lastModifiedBy>Frédéric GASPAR | iBET</cp:lastModifiedBy>
  <cp:revision>4</cp:revision>
  <dcterms:created xsi:type="dcterms:W3CDTF">2023-05-09T19:00:00Z</dcterms:created>
  <dcterms:modified xsi:type="dcterms:W3CDTF">2024-04-10T16:55:29Z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0x010100DA1D71D5AB941C4C9578857F90433CF6</vt:lpwstr>
  </property>
</Properties>
</file>