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4413" w:rsidRDefault="007725BC">
      <w:pPr>
        <w:rPr>
          <w:b/>
        </w:rPr>
      </w:pPr>
      <w:r w:rsidRPr="00F67459">
        <w:rPr>
          <w:b/>
        </w:rPr>
        <w:t xml:space="preserve">Log of comments </w:t>
      </w:r>
      <w:r w:rsidR="00B308DE">
        <w:rPr>
          <w:b/>
        </w:rPr>
        <w:t xml:space="preserve">received from </w:t>
      </w:r>
      <w:r w:rsidR="00565D89">
        <w:rPr>
          <w:b/>
        </w:rPr>
        <w:t>stakeholders</w:t>
      </w:r>
    </w:p>
    <w:p w:rsidR="00B308DE" w:rsidRPr="00F67459" w:rsidRDefault="00B308DE">
      <w:pPr>
        <w:rPr>
          <w:b/>
        </w:rPr>
      </w:pPr>
      <w:r>
        <w:rPr>
          <w:b/>
        </w:rPr>
        <w:t xml:space="preserve">Interim Country paper </w:t>
      </w:r>
      <w:r w:rsidR="00565D89">
        <w:rPr>
          <w:b/>
        </w:rPr>
        <w:t>Spain</w:t>
      </w:r>
      <w:r w:rsidR="007B420F">
        <w:rPr>
          <w:b/>
        </w:rPr>
        <w:t xml:space="preserve"> </w:t>
      </w:r>
      <w:r w:rsidR="007B420F">
        <w:rPr>
          <w:b/>
        </w:rPr>
        <w:br/>
      </w:r>
      <w:r w:rsidR="007B420F" w:rsidRPr="007B420F">
        <w:t>(DG MARE Blue Growth sea basin study</w:t>
      </w:r>
      <w:r w:rsidR="007B420F">
        <w:t xml:space="preserve"> Atlantic</w:t>
      </w:r>
      <w:r w:rsidR="007B420F" w:rsidRPr="007B420F">
        <w:t>)</w:t>
      </w:r>
    </w:p>
    <w:p w:rsidR="007725BC" w:rsidRPr="001C5402" w:rsidRDefault="00252548">
      <w:pPr>
        <w:rPr>
          <w:b/>
          <w:lang w:val="fr-FR"/>
        </w:rPr>
      </w:pPr>
      <w:r w:rsidRPr="001C5402">
        <w:rPr>
          <w:b/>
          <w:lang w:val="fr-FR"/>
        </w:rPr>
        <w:t>18</w:t>
      </w:r>
      <w:r w:rsidR="00565D89" w:rsidRPr="001C5402">
        <w:rPr>
          <w:b/>
          <w:lang w:val="fr-FR"/>
        </w:rPr>
        <w:t>/</w:t>
      </w:r>
      <w:r w:rsidRPr="001C5402">
        <w:rPr>
          <w:b/>
          <w:lang w:val="fr-FR"/>
        </w:rPr>
        <w:t>10</w:t>
      </w:r>
      <w:r w:rsidR="00565D89" w:rsidRPr="001C5402">
        <w:rPr>
          <w:b/>
          <w:lang w:val="fr-FR"/>
        </w:rPr>
        <w:t>/2013</w:t>
      </w:r>
    </w:p>
    <w:p w:rsidR="00565D89" w:rsidRPr="001C5402" w:rsidRDefault="001C2C8D" w:rsidP="001C5402">
      <w:pPr>
        <w:ind w:left="720"/>
        <w:rPr>
          <w:lang w:val="fr-FR"/>
        </w:rPr>
      </w:pPr>
      <w:proofErr w:type="spellStart"/>
      <w:r w:rsidRPr="001C5402">
        <w:rPr>
          <w:b/>
          <w:highlight w:val="yellow"/>
          <w:lang w:val="fr-FR"/>
        </w:rPr>
        <w:t>Comments</w:t>
      </w:r>
      <w:proofErr w:type="spellEnd"/>
      <w:r w:rsidRPr="001C5402">
        <w:rPr>
          <w:b/>
          <w:highlight w:val="yellow"/>
          <w:lang w:val="fr-FR"/>
        </w:rPr>
        <w:t xml:space="preserve"> </w:t>
      </w:r>
      <w:proofErr w:type="spellStart"/>
      <w:r w:rsidRPr="001C5402">
        <w:rPr>
          <w:b/>
          <w:highlight w:val="yellow"/>
          <w:lang w:val="fr-FR"/>
        </w:rPr>
        <w:t>from</w:t>
      </w:r>
      <w:proofErr w:type="spellEnd"/>
      <w:r w:rsidRPr="001C5402">
        <w:rPr>
          <w:b/>
          <w:highlight w:val="yellow"/>
          <w:lang w:val="fr-FR"/>
        </w:rPr>
        <w:t xml:space="preserve"> </w:t>
      </w:r>
      <w:proofErr w:type="spellStart"/>
      <w:r w:rsidR="00565D89" w:rsidRPr="001C5402">
        <w:rPr>
          <w:b/>
          <w:highlight w:val="yellow"/>
          <w:lang w:val="fr-FR"/>
        </w:rPr>
        <w:t>Consejo</w:t>
      </w:r>
      <w:proofErr w:type="spellEnd"/>
      <w:r w:rsidR="00565D89" w:rsidRPr="001C5402">
        <w:rPr>
          <w:b/>
          <w:highlight w:val="yellow"/>
          <w:lang w:val="fr-FR"/>
        </w:rPr>
        <w:t xml:space="preserve"> Economico y Social / Ms </w:t>
      </w:r>
      <w:proofErr w:type="spellStart"/>
      <w:r w:rsidR="00565D89" w:rsidRPr="001C5402">
        <w:rPr>
          <w:b/>
          <w:highlight w:val="yellow"/>
          <w:lang w:val="fr-FR"/>
        </w:rPr>
        <w:t>Arantza</w:t>
      </w:r>
      <w:proofErr w:type="spellEnd"/>
      <w:r w:rsidR="00565D89" w:rsidRPr="001C5402">
        <w:rPr>
          <w:b/>
          <w:highlight w:val="yellow"/>
          <w:lang w:val="fr-FR"/>
        </w:rPr>
        <w:t xml:space="preserve"> Lopez de </w:t>
      </w:r>
      <w:proofErr w:type="spellStart"/>
      <w:r w:rsidR="00565D89" w:rsidRPr="001C5402">
        <w:rPr>
          <w:b/>
          <w:highlight w:val="yellow"/>
          <w:lang w:val="fr-FR"/>
        </w:rPr>
        <w:t>Munain</w:t>
      </w:r>
      <w:proofErr w:type="spellEnd"/>
      <w:r w:rsidR="00565D89" w:rsidRPr="001C5402">
        <w:rPr>
          <w:b/>
          <w:highlight w:val="yellow"/>
          <w:lang w:val="fr-FR"/>
        </w:rPr>
        <w:t xml:space="preserve"> </w:t>
      </w:r>
      <w:proofErr w:type="spellStart"/>
      <w:r w:rsidR="00565D89" w:rsidRPr="001C5402">
        <w:rPr>
          <w:b/>
          <w:highlight w:val="yellow"/>
          <w:lang w:val="fr-FR"/>
        </w:rPr>
        <w:t>Zulueta</w:t>
      </w:r>
      <w:proofErr w:type="spellEnd"/>
      <w:r w:rsidR="001C5402" w:rsidRPr="001C5402">
        <w:rPr>
          <w:b/>
          <w:lang w:val="fr-FR"/>
        </w:rPr>
        <w:t xml:space="preserve"> </w:t>
      </w:r>
      <w:r w:rsidR="001C5402" w:rsidRPr="001C5402">
        <w:rPr>
          <w:lang w:val="fr-FR"/>
        </w:rPr>
        <w:t>(</w:t>
      </w:r>
      <w:proofErr w:type="spellStart"/>
      <w:r w:rsidR="001C5402" w:rsidRPr="001C5402">
        <w:rPr>
          <w:lang w:val="fr-FR"/>
        </w:rPr>
        <w:t>uploaded</w:t>
      </w:r>
      <w:proofErr w:type="spellEnd"/>
      <w:r w:rsidR="001C5402" w:rsidRPr="001C5402">
        <w:rPr>
          <w:lang w:val="fr-FR"/>
        </w:rPr>
        <w:t xml:space="preserve"> on 12/09/2013)</w:t>
      </w:r>
    </w:p>
    <w:tbl>
      <w:tblPr>
        <w:tblStyle w:val="LightShading"/>
        <w:tblW w:w="4737" w:type="pct"/>
        <w:tblLayout w:type="fixed"/>
        <w:tblLook w:val="04A0" w:firstRow="1" w:lastRow="0" w:firstColumn="1" w:lastColumn="0" w:noHBand="0" w:noVBand="1"/>
      </w:tblPr>
      <w:tblGrid>
        <w:gridCol w:w="657"/>
        <w:gridCol w:w="3548"/>
        <w:gridCol w:w="4551"/>
      </w:tblGrid>
      <w:tr w:rsidR="00C11BF8" w:rsidRPr="00F67459" w:rsidTr="007B225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75" w:type="pct"/>
          </w:tcPr>
          <w:p w:rsidR="00C11BF8" w:rsidRPr="001C5402" w:rsidRDefault="00C11BF8">
            <w:pPr>
              <w:rPr>
                <w:b w:val="0"/>
                <w:lang w:val="fr-FR"/>
              </w:rPr>
            </w:pPr>
          </w:p>
        </w:tc>
        <w:tc>
          <w:tcPr>
            <w:tcW w:w="2026" w:type="pct"/>
          </w:tcPr>
          <w:p w:rsidR="00C11BF8" w:rsidRPr="00F67459" w:rsidRDefault="00C11BF8">
            <w:pPr>
              <w:cnfStyle w:val="100000000000" w:firstRow="1" w:lastRow="0" w:firstColumn="0" w:lastColumn="0" w:oddVBand="0" w:evenVBand="0" w:oddHBand="0" w:evenHBand="0" w:firstRowFirstColumn="0" w:firstRowLastColumn="0" w:lastRowFirstColumn="0" w:lastRowLastColumn="0"/>
            </w:pPr>
            <w:r w:rsidRPr="00F67459">
              <w:t>Comments</w:t>
            </w:r>
          </w:p>
        </w:tc>
        <w:tc>
          <w:tcPr>
            <w:tcW w:w="2600" w:type="pct"/>
          </w:tcPr>
          <w:p w:rsidR="00C11BF8" w:rsidRPr="00F67459" w:rsidRDefault="00C11BF8">
            <w:pPr>
              <w:cnfStyle w:val="100000000000" w:firstRow="1" w:lastRow="0" w:firstColumn="0" w:lastColumn="0" w:oddVBand="0" w:evenVBand="0" w:oddHBand="0" w:evenHBand="0" w:firstRowFirstColumn="0" w:firstRowLastColumn="0" w:lastRowFirstColumn="0" w:lastRowLastColumn="0"/>
            </w:pPr>
            <w:r w:rsidRPr="00F67459">
              <w:t>Suggested response</w:t>
            </w:r>
          </w:p>
        </w:tc>
      </w:tr>
      <w:tr w:rsidR="00C11BF8" w:rsidTr="007B22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5" w:type="pct"/>
          </w:tcPr>
          <w:p w:rsidR="00C11BF8" w:rsidRPr="008A6A48" w:rsidRDefault="00C11BF8">
            <w:pPr>
              <w:rPr>
                <w:b w:val="0"/>
              </w:rPr>
            </w:pPr>
            <w:r w:rsidRPr="008A6A48">
              <w:rPr>
                <w:b w:val="0"/>
              </w:rPr>
              <w:t>1</w:t>
            </w:r>
          </w:p>
        </w:tc>
        <w:tc>
          <w:tcPr>
            <w:tcW w:w="2026" w:type="pct"/>
          </w:tcPr>
          <w:p w:rsidR="00C11BF8" w:rsidRPr="008A6A48" w:rsidRDefault="00C11BF8">
            <w:pPr>
              <w:cnfStyle w:val="000000100000" w:firstRow="0" w:lastRow="0" w:firstColumn="0" w:lastColumn="0" w:oddVBand="0" w:evenVBand="0" w:oddHBand="1" w:evenHBand="0" w:firstRowFirstColumn="0" w:firstRowLastColumn="0" w:lastRowFirstColumn="0" w:lastRowLastColumn="0"/>
            </w:pPr>
            <w:r>
              <w:t>It would be worthwhile to make an effort to get more updated and precise information on regional maritime clusters and organisations</w:t>
            </w:r>
          </w:p>
        </w:tc>
        <w:tc>
          <w:tcPr>
            <w:tcW w:w="2600" w:type="pct"/>
          </w:tcPr>
          <w:p w:rsidR="00C11BF8" w:rsidRDefault="00C11BF8" w:rsidP="00AC23F2">
            <w:pPr>
              <w:cnfStyle w:val="000000100000" w:firstRow="0" w:lastRow="0" w:firstColumn="0" w:lastColumn="0" w:oddVBand="0" w:evenVBand="0" w:oddHBand="1" w:evenHBand="0" w:firstRowFirstColumn="0" w:firstRowLastColumn="0" w:lastRowFirstColumn="0" w:lastRowLastColumn="0"/>
            </w:pPr>
            <w:r>
              <w:t>This is part of the methodology to analyse the selected clusters (in-depth analysis) alongside the indicators: Unemployment rate at cluster level  (NUTS III or II level), Ongoing research: main research institutes / companies associated to the clusters, Number of students in higher education, Number of students in higher education following courses for employment in blue economy</w:t>
            </w:r>
          </w:p>
        </w:tc>
      </w:tr>
      <w:tr w:rsidR="00C11BF8" w:rsidTr="007B2256">
        <w:tc>
          <w:tcPr>
            <w:cnfStyle w:val="001000000000" w:firstRow="0" w:lastRow="0" w:firstColumn="1" w:lastColumn="0" w:oddVBand="0" w:evenVBand="0" w:oddHBand="0" w:evenHBand="0" w:firstRowFirstColumn="0" w:firstRowLastColumn="0" w:lastRowFirstColumn="0" w:lastRowLastColumn="0"/>
            <w:tcW w:w="375" w:type="pct"/>
          </w:tcPr>
          <w:p w:rsidR="00C11BF8" w:rsidRPr="008A6A48" w:rsidRDefault="00C11BF8" w:rsidP="00BB407A">
            <w:pPr>
              <w:autoSpaceDE w:val="0"/>
              <w:autoSpaceDN w:val="0"/>
              <w:adjustRightInd w:val="0"/>
              <w:rPr>
                <w:b w:val="0"/>
              </w:rPr>
            </w:pPr>
            <w:r w:rsidRPr="008A6A48">
              <w:rPr>
                <w:b w:val="0"/>
              </w:rPr>
              <w:t>2</w:t>
            </w:r>
          </w:p>
        </w:tc>
        <w:tc>
          <w:tcPr>
            <w:tcW w:w="2026" w:type="pct"/>
          </w:tcPr>
          <w:p w:rsidR="00C11BF8" w:rsidRPr="008A6A48" w:rsidRDefault="00C11BF8" w:rsidP="006F3501">
            <w:pPr>
              <w:cnfStyle w:val="000000000000" w:firstRow="0" w:lastRow="0" w:firstColumn="0" w:lastColumn="0" w:oddVBand="0" w:evenVBand="0" w:oddHBand="0" w:evenHBand="0" w:firstRowFirstColumn="0" w:firstRowLastColumn="0" w:lastRowFirstColumn="0" w:lastRowLastColumn="0"/>
            </w:pPr>
            <w:r>
              <w:t>Distorted visions of the magnitudes or importance of the different activities or clusters will be provided</w:t>
            </w:r>
          </w:p>
        </w:tc>
        <w:tc>
          <w:tcPr>
            <w:tcW w:w="2600" w:type="pct"/>
          </w:tcPr>
          <w:p w:rsidR="00C11BF8" w:rsidRDefault="00C11BF8">
            <w:pPr>
              <w:cnfStyle w:val="000000000000" w:firstRow="0" w:lastRow="0" w:firstColumn="0" w:lastColumn="0" w:oddVBand="0" w:evenVBand="0" w:oddHBand="0" w:evenHBand="0" w:firstRowFirstColumn="0" w:firstRowLastColumn="0" w:lastRowFirstColumn="0" w:lastRowLastColumn="0"/>
            </w:pPr>
            <w:r>
              <w:t xml:space="preserve">Please specify your comments with regards to “distorted visions of the magnitudes or importance…”. </w:t>
            </w:r>
            <w:r>
              <w:br/>
              <w:t xml:space="preserve">Annex I serves as a juxtaposition of the different sources (Eurostat, Official National Statistical Sources, Alternative) and to provide transparency. If you have additional sources please let us know. </w:t>
            </w:r>
          </w:p>
        </w:tc>
      </w:tr>
      <w:tr w:rsidR="00C11BF8" w:rsidTr="007B22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5" w:type="pct"/>
          </w:tcPr>
          <w:p w:rsidR="00C11BF8" w:rsidRPr="008A6A48" w:rsidRDefault="00C11BF8" w:rsidP="00BB407A">
            <w:pPr>
              <w:autoSpaceDE w:val="0"/>
              <w:autoSpaceDN w:val="0"/>
              <w:adjustRightInd w:val="0"/>
              <w:rPr>
                <w:b w:val="0"/>
              </w:rPr>
            </w:pPr>
            <w:r w:rsidRPr="008A6A48">
              <w:rPr>
                <w:b w:val="0"/>
              </w:rPr>
              <w:t>3</w:t>
            </w:r>
          </w:p>
        </w:tc>
        <w:tc>
          <w:tcPr>
            <w:tcW w:w="2026" w:type="pct"/>
          </w:tcPr>
          <w:p w:rsidR="00C11BF8" w:rsidRPr="008A6A48" w:rsidRDefault="00C11BF8" w:rsidP="00BB407A">
            <w:pPr>
              <w:cnfStyle w:val="000000100000" w:firstRow="0" w:lastRow="0" w:firstColumn="0" w:lastColumn="0" w:oddVBand="0" w:evenVBand="0" w:oddHBand="1" w:evenHBand="0" w:firstRowFirstColumn="0" w:firstRowLastColumn="0" w:lastRowFirstColumn="0" w:lastRowLastColumn="0"/>
            </w:pPr>
            <w:r>
              <w:t xml:space="preserve">Table 3 is </w:t>
            </w:r>
            <w:r w:rsidRPr="00565D89">
              <w:t>based “on the basis of other parameters” since “hardly any data can be found in regionalized statistics”. Whereas it should be possible to find these data of employment and GVA contacting regional maritime clusters and regions. In several regions there are statistical agencies that provide these data and maritime sector organizations do also have this information.</w:t>
            </w:r>
          </w:p>
        </w:tc>
        <w:tc>
          <w:tcPr>
            <w:tcW w:w="2600" w:type="pct"/>
          </w:tcPr>
          <w:p w:rsidR="00C11BF8" w:rsidRDefault="00C11BF8" w:rsidP="00051C80">
            <w:pPr>
              <w:cnfStyle w:val="000000100000" w:firstRow="0" w:lastRow="0" w:firstColumn="0" w:lastColumn="0" w:oddVBand="0" w:evenVBand="0" w:oddHBand="1" w:evenHBand="0" w:firstRowFirstColumn="0" w:firstRowLastColumn="0" w:lastRowFirstColumn="0" w:lastRowLastColumn="0"/>
            </w:pPr>
            <w:r>
              <w:t>It is certainly possible to find some regionalised data on GVA and employment. However, and to comply with the unified methodology for assessing the size of the maritime economic activities (and as agreed with DG MARE), this data would need to fit in the NACE codes applied. Often, and to our experience, regionalised data (NUTS 2 or 3, as opposed to national data NUTS 0 or 1) is less available, the more disaggregated it gets (in regional terms).</w:t>
            </w:r>
          </w:p>
        </w:tc>
      </w:tr>
      <w:tr w:rsidR="00C11BF8" w:rsidTr="007B2256">
        <w:tc>
          <w:tcPr>
            <w:cnfStyle w:val="001000000000" w:firstRow="0" w:lastRow="0" w:firstColumn="1" w:lastColumn="0" w:oddVBand="0" w:evenVBand="0" w:oddHBand="0" w:evenHBand="0" w:firstRowFirstColumn="0" w:firstRowLastColumn="0" w:lastRowFirstColumn="0" w:lastRowLastColumn="0"/>
            <w:tcW w:w="375" w:type="pct"/>
          </w:tcPr>
          <w:p w:rsidR="00C11BF8" w:rsidRPr="008A6A48" w:rsidRDefault="00C11BF8" w:rsidP="00BB407A">
            <w:pPr>
              <w:autoSpaceDE w:val="0"/>
              <w:autoSpaceDN w:val="0"/>
              <w:adjustRightInd w:val="0"/>
              <w:rPr>
                <w:b w:val="0"/>
              </w:rPr>
            </w:pPr>
            <w:r w:rsidRPr="008A6A48">
              <w:rPr>
                <w:b w:val="0"/>
              </w:rPr>
              <w:t>4</w:t>
            </w:r>
          </w:p>
        </w:tc>
        <w:tc>
          <w:tcPr>
            <w:tcW w:w="2026" w:type="pct"/>
          </w:tcPr>
          <w:p w:rsidR="00C11BF8" w:rsidRPr="008A6A48" w:rsidRDefault="00C11BF8" w:rsidP="00565D89">
            <w:pPr>
              <w:cnfStyle w:val="000000000000" w:firstRow="0" w:lastRow="0" w:firstColumn="0" w:lastColumn="0" w:oddVBand="0" w:evenVBand="0" w:oddHBand="0" w:evenHBand="0" w:firstRowFirstColumn="0" w:firstRowLastColumn="0" w:lastRowFirstColumn="0" w:lastRowLastColumn="0"/>
            </w:pPr>
            <w:r w:rsidRPr="00565D89">
              <w:t xml:space="preserve">Data quoted in </w:t>
            </w:r>
            <w:r>
              <w:t>table 3, e.g. th</w:t>
            </w:r>
            <w:r w:rsidRPr="00565D89">
              <w:t>e allocations between regions of the shares in ocean energy and offshore wind</w:t>
            </w:r>
          </w:p>
        </w:tc>
        <w:tc>
          <w:tcPr>
            <w:tcW w:w="2600" w:type="pct"/>
          </w:tcPr>
          <w:p w:rsidR="00C11BF8" w:rsidRDefault="00C11BF8">
            <w:pPr>
              <w:cnfStyle w:val="000000000000" w:firstRow="0" w:lastRow="0" w:firstColumn="0" w:lastColumn="0" w:oddVBand="0" w:evenVBand="0" w:oddHBand="0" w:evenHBand="0" w:firstRowFirstColumn="0" w:firstRowLastColumn="0" w:lastRowFirstColumn="0" w:lastRowLastColumn="0"/>
            </w:pPr>
            <w:r>
              <w:t>Please see map from the Ministry of Agriculture on the suitable areas for marine offshore wind activities.</w:t>
            </w:r>
          </w:p>
        </w:tc>
      </w:tr>
      <w:tr w:rsidR="00C11BF8" w:rsidTr="007B22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5" w:type="pct"/>
          </w:tcPr>
          <w:p w:rsidR="00C11BF8" w:rsidRPr="008A6A48" w:rsidRDefault="00C11BF8" w:rsidP="00BB407A">
            <w:pPr>
              <w:autoSpaceDE w:val="0"/>
              <w:autoSpaceDN w:val="0"/>
              <w:adjustRightInd w:val="0"/>
              <w:rPr>
                <w:b w:val="0"/>
              </w:rPr>
            </w:pPr>
            <w:r w:rsidRPr="008A6A48">
              <w:rPr>
                <w:b w:val="0"/>
              </w:rPr>
              <w:t>5</w:t>
            </w:r>
          </w:p>
        </w:tc>
        <w:tc>
          <w:tcPr>
            <w:tcW w:w="2026" w:type="pct"/>
          </w:tcPr>
          <w:p w:rsidR="00C11BF8" w:rsidRPr="00AA2B0F" w:rsidRDefault="00C11BF8" w:rsidP="00F76643">
            <w:pPr>
              <w:autoSpaceDE w:val="0"/>
              <w:autoSpaceDN w:val="0"/>
              <w:adjustRightInd w:val="0"/>
              <w:cnfStyle w:val="000000100000" w:firstRow="0" w:lastRow="0" w:firstColumn="0" w:lastColumn="0" w:oddVBand="0" w:evenVBand="0" w:oddHBand="1" w:evenHBand="0" w:firstRowFirstColumn="0" w:firstRowLastColumn="0" w:lastRowFirstColumn="0" w:lastRowLastColumn="0"/>
            </w:pPr>
            <w:r w:rsidRPr="00F76643">
              <w:t xml:space="preserve">The clusters report is based on </w:t>
            </w:r>
            <w:r w:rsidRPr="006F3501">
              <w:t>partial characterization of maritime activities, very much focused on fishing and related activities but excluding other important areas of the maritime activity</w:t>
            </w:r>
            <w:r w:rsidRPr="00F76643">
              <w:t xml:space="preserve"> like commercial shipping, most part of shipbuilding, </w:t>
            </w:r>
            <w:r w:rsidRPr="00F76643">
              <w:lastRenderedPageBreak/>
              <w:t xml:space="preserve">and ocean energies and offshore wind. </w:t>
            </w:r>
          </w:p>
        </w:tc>
        <w:tc>
          <w:tcPr>
            <w:tcW w:w="2600" w:type="pct"/>
          </w:tcPr>
          <w:p w:rsidR="00C11BF8" w:rsidRDefault="00C11BF8">
            <w:pPr>
              <w:cnfStyle w:val="000000100000" w:firstRow="0" w:lastRow="0" w:firstColumn="0" w:lastColumn="0" w:oddVBand="0" w:evenVBand="0" w:oddHBand="1" w:evenHBand="0" w:firstRowFirstColumn="0" w:firstRowLastColumn="0" w:lastRowFirstColumn="0" w:lastRowLastColumn="0"/>
            </w:pPr>
            <w:r>
              <w:lastRenderedPageBreak/>
              <w:t>The methodology for selecting clusters has been approved by DG MARE</w:t>
            </w:r>
          </w:p>
        </w:tc>
      </w:tr>
      <w:tr w:rsidR="00C11BF8" w:rsidTr="007B2256">
        <w:tc>
          <w:tcPr>
            <w:cnfStyle w:val="001000000000" w:firstRow="0" w:lastRow="0" w:firstColumn="1" w:lastColumn="0" w:oddVBand="0" w:evenVBand="0" w:oddHBand="0" w:evenHBand="0" w:firstRowFirstColumn="0" w:firstRowLastColumn="0" w:lastRowFirstColumn="0" w:lastRowLastColumn="0"/>
            <w:tcW w:w="375" w:type="pct"/>
          </w:tcPr>
          <w:p w:rsidR="00C11BF8" w:rsidRPr="008A6A48" w:rsidRDefault="00C11BF8">
            <w:pPr>
              <w:rPr>
                <w:b w:val="0"/>
              </w:rPr>
            </w:pPr>
          </w:p>
        </w:tc>
        <w:tc>
          <w:tcPr>
            <w:tcW w:w="2026" w:type="pct"/>
          </w:tcPr>
          <w:p w:rsidR="00C11BF8" w:rsidRPr="00F76643" w:rsidRDefault="00C11BF8">
            <w:pPr>
              <w:cnfStyle w:val="000000000000" w:firstRow="0" w:lastRow="0" w:firstColumn="0" w:lastColumn="0" w:oddVBand="0" w:evenVBand="0" w:oddHBand="0" w:evenHBand="0" w:firstRowFirstColumn="0" w:firstRowLastColumn="0" w:lastRowFirstColumn="0" w:lastRowLastColumn="0"/>
            </w:pPr>
            <w:r w:rsidRPr="00F76643">
              <w:t>The tourist sector is taken as a whole without regard to whether its linked to coastal tourism or not.</w:t>
            </w:r>
          </w:p>
        </w:tc>
        <w:tc>
          <w:tcPr>
            <w:tcW w:w="2600" w:type="pct"/>
          </w:tcPr>
          <w:p w:rsidR="00C11BF8" w:rsidRDefault="00C11BF8" w:rsidP="00F76643">
            <w:pPr>
              <w:cnfStyle w:val="000000000000" w:firstRow="0" w:lastRow="0" w:firstColumn="0" w:lastColumn="0" w:oddVBand="0" w:evenVBand="0" w:oddHBand="0" w:evenHBand="0" w:firstRowFirstColumn="0" w:firstRowLastColumn="0" w:lastRowFirstColumn="0" w:lastRowLastColumn="0"/>
            </w:pPr>
            <w:r>
              <w:t>Comment has been taken into account and the paragraph has been rephrased with an emphasis on coastal tourism.</w:t>
            </w:r>
          </w:p>
        </w:tc>
      </w:tr>
      <w:tr w:rsidR="00C11BF8" w:rsidTr="007B22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5" w:type="pct"/>
          </w:tcPr>
          <w:p w:rsidR="00C11BF8" w:rsidRPr="008A6A48" w:rsidRDefault="00C11BF8">
            <w:pPr>
              <w:rPr>
                <w:b w:val="0"/>
              </w:rPr>
            </w:pPr>
            <w:r w:rsidRPr="008A6A48">
              <w:rPr>
                <w:b w:val="0"/>
              </w:rPr>
              <w:t>6</w:t>
            </w:r>
          </w:p>
        </w:tc>
        <w:tc>
          <w:tcPr>
            <w:tcW w:w="2026" w:type="pct"/>
          </w:tcPr>
          <w:p w:rsidR="00C11BF8" w:rsidRPr="008A6A48" w:rsidRDefault="00C11BF8">
            <w:pPr>
              <w:cnfStyle w:val="000000100000" w:firstRow="0" w:lastRow="0" w:firstColumn="0" w:lastColumn="0" w:oddVBand="0" w:evenVBand="0" w:oddHBand="1" w:evenHBand="0" w:firstRowFirstColumn="0" w:firstRowLastColumn="0" w:lastRowFirstColumn="0" w:lastRowLastColumn="0"/>
            </w:pPr>
            <w:r w:rsidRPr="00F76643">
              <w:t>More refined criteria to characterize the clusters would lead to a more representative selection of “maritime clusters” for the more thorough analysis to be done.</w:t>
            </w:r>
          </w:p>
        </w:tc>
        <w:tc>
          <w:tcPr>
            <w:tcW w:w="2600" w:type="pct"/>
          </w:tcPr>
          <w:p w:rsidR="00C11BF8" w:rsidRDefault="00C11BF8" w:rsidP="00F76643">
            <w:pPr>
              <w:cnfStyle w:val="000000100000" w:firstRow="0" w:lastRow="0" w:firstColumn="0" w:lastColumn="0" w:oddVBand="0" w:evenVBand="0" w:oddHBand="1" w:evenHBand="0" w:firstRowFirstColumn="0" w:firstRowLastColumn="0" w:lastRowFirstColumn="0" w:lastRowLastColumn="0"/>
            </w:pPr>
            <w:r>
              <w:t xml:space="preserve">More clusters will be added to the </w:t>
            </w:r>
            <w:proofErr w:type="spellStart"/>
            <w:r>
              <w:t>longlist</w:t>
            </w:r>
            <w:proofErr w:type="spellEnd"/>
            <w:r>
              <w:t xml:space="preserve"> of clusters, as described in the methodology Annex. Please let us know, which ones you wish us to include for Spain. </w:t>
            </w:r>
          </w:p>
        </w:tc>
      </w:tr>
      <w:tr w:rsidR="00C11BF8" w:rsidTr="007B2256">
        <w:tc>
          <w:tcPr>
            <w:cnfStyle w:val="001000000000" w:firstRow="0" w:lastRow="0" w:firstColumn="1" w:lastColumn="0" w:oddVBand="0" w:evenVBand="0" w:oddHBand="0" w:evenHBand="0" w:firstRowFirstColumn="0" w:firstRowLastColumn="0" w:lastRowFirstColumn="0" w:lastRowLastColumn="0"/>
            <w:tcW w:w="375" w:type="pct"/>
          </w:tcPr>
          <w:p w:rsidR="00C11BF8" w:rsidRPr="008A6A48" w:rsidRDefault="00C11BF8" w:rsidP="00BB407A">
            <w:pPr>
              <w:autoSpaceDE w:val="0"/>
              <w:autoSpaceDN w:val="0"/>
              <w:adjustRightInd w:val="0"/>
              <w:rPr>
                <w:b w:val="0"/>
              </w:rPr>
            </w:pPr>
            <w:r w:rsidRPr="008A6A48">
              <w:rPr>
                <w:b w:val="0"/>
              </w:rPr>
              <w:t>7</w:t>
            </w:r>
          </w:p>
        </w:tc>
        <w:tc>
          <w:tcPr>
            <w:tcW w:w="2026" w:type="pct"/>
          </w:tcPr>
          <w:p w:rsidR="00C11BF8" w:rsidRPr="008A6A48" w:rsidRDefault="00C11BF8" w:rsidP="00F76643">
            <w:pPr>
              <w:autoSpaceDE w:val="0"/>
              <w:autoSpaceDN w:val="0"/>
              <w:adjustRightInd w:val="0"/>
              <w:cnfStyle w:val="000000000000" w:firstRow="0" w:lastRow="0" w:firstColumn="0" w:lastColumn="0" w:oddVBand="0" w:evenVBand="0" w:oddHBand="0" w:evenHBand="0" w:firstRowFirstColumn="0" w:firstRowLastColumn="0" w:lastRowFirstColumn="0" w:lastRowLastColumn="0"/>
              <w:rPr>
                <w:color w:val="auto"/>
              </w:rPr>
            </w:pPr>
            <w:r>
              <w:rPr>
                <w:color w:val="auto"/>
              </w:rPr>
              <w:t>The</w:t>
            </w:r>
            <w:r w:rsidRPr="00F76643">
              <w:rPr>
                <w:color w:val="auto"/>
              </w:rPr>
              <w:t xml:space="preserve"> report on the ocean energy and offshore wind of the Spanish draft hardly reports on the existing projects and activities, not even an accurate description of the only two projects that it mentions, </w:t>
            </w:r>
            <w:proofErr w:type="spellStart"/>
            <w:r w:rsidRPr="00F76643">
              <w:rPr>
                <w:color w:val="auto"/>
              </w:rPr>
              <w:t>Ibermar</w:t>
            </w:r>
            <w:proofErr w:type="spellEnd"/>
            <w:r w:rsidRPr="00F76643">
              <w:rPr>
                <w:color w:val="auto"/>
              </w:rPr>
              <w:t xml:space="preserve"> and BIMEP, the former being a floating platform prototype and the second a testing infrastructure (like EMEC) for wave energy and floating offshore wind to be inaugurated next year already. </w:t>
            </w:r>
          </w:p>
        </w:tc>
        <w:tc>
          <w:tcPr>
            <w:tcW w:w="2600" w:type="pct"/>
          </w:tcPr>
          <w:p w:rsidR="00C11BF8" w:rsidRDefault="00C11BF8" w:rsidP="009255C9">
            <w:pPr>
              <w:cnfStyle w:val="000000000000" w:firstRow="0" w:lastRow="0" w:firstColumn="0" w:lastColumn="0" w:oddVBand="0" w:evenVBand="0" w:oddHBand="0" w:evenHBand="0" w:firstRowFirstColumn="0" w:firstRowLastColumn="0" w:lastRowFirstColumn="0" w:lastRowLastColumn="0"/>
            </w:pPr>
            <w:r>
              <w:t xml:space="preserve">Please see changes in order to provide an accurate description and information on new projects (Plan de </w:t>
            </w:r>
            <w:proofErr w:type="spellStart"/>
            <w:r>
              <w:t>energías</w:t>
            </w:r>
            <w:proofErr w:type="spellEnd"/>
            <w:r>
              <w:t xml:space="preserve"> </w:t>
            </w:r>
            <w:proofErr w:type="spellStart"/>
            <w:r>
              <w:t>renovables</w:t>
            </w:r>
            <w:proofErr w:type="spellEnd"/>
            <w:r>
              <w:t xml:space="preserve"> 2010-2020-IDAE).pp198-199</w:t>
            </w:r>
          </w:p>
        </w:tc>
      </w:tr>
      <w:tr w:rsidR="00C11BF8" w:rsidTr="007B22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5" w:type="pct"/>
          </w:tcPr>
          <w:p w:rsidR="00C11BF8" w:rsidRPr="008A6A48" w:rsidRDefault="00C11BF8" w:rsidP="00BB407A">
            <w:pPr>
              <w:autoSpaceDE w:val="0"/>
              <w:autoSpaceDN w:val="0"/>
              <w:adjustRightInd w:val="0"/>
              <w:rPr>
                <w:b w:val="0"/>
              </w:rPr>
            </w:pPr>
            <w:r w:rsidRPr="008A6A48">
              <w:rPr>
                <w:b w:val="0"/>
              </w:rPr>
              <w:t>8</w:t>
            </w:r>
          </w:p>
        </w:tc>
        <w:tc>
          <w:tcPr>
            <w:tcW w:w="2026" w:type="pct"/>
          </w:tcPr>
          <w:p w:rsidR="00C11BF8" w:rsidRPr="008A6A48" w:rsidRDefault="00C11BF8" w:rsidP="00BB407A">
            <w:pPr>
              <w:cnfStyle w:val="000000100000" w:firstRow="0" w:lastRow="0" w:firstColumn="0" w:lastColumn="0" w:oddVBand="0" w:evenVBand="0" w:oddHBand="1" w:evenHBand="0" w:firstRowFirstColumn="0" w:firstRowLastColumn="0" w:lastRowFirstColumn="0" w:lastRowLastColumn="0"/>
            </w:pPr>
            <w:r w:rsidRPr="00F76643">
              <w:rPr>
                <w:color w:val="auto"/>
              </w:rPr>
              <w:t xml:space="preserve">The description </w:t>
            </w:r>
            <w:r w:rsidRPr="00F76643">
              <w:rPr>
                <w:i/>
                <w:color w:val="auto"/>
              </w:rPr>
              <w:t xml:space="preserve">(on ocean energy) </w:t>
            </w:r>
            <w:r w:rsidRPr="00F76643">
              <w:rPr>
                <w:color w:val="auto"/>
              </w:rPr>
              <w:t>does not mention a wave energy plant already in operation and connected to the grid for already two years in the Bay of Biscay and several other initiatives that show a very different picture of the sector.</w:t>
            </w:r>
          </w:p>
        </w:tc>
        <w:tc>
          <w:tcPr>
            <w:tcW w:w="2600" w:type="pct"/>
          </w:tcPr>
          <w:p w:rsidR="00C11BF8" w:rsidRDefault="00C11BF8" w:rsidP="009255C9">
            <w:pPr>
              <w:cnfStyle w:val="000000100000" w:firstRow="0" w:lastRow="0" w:firstColumn="0" w:lastColumn="0" w:oddVBand="0" w:evenVBand="0" w:oddHBand="1" w:evenHBand="0" w:firstRowFirstColumn="0" w:firstRowLastColumn="0" w:lastRowFirstColumn="0" w:lastRowLastColumn="0"/>
            </w:pPr>
            <w:r>
              <w:t xml:space="preserve">Information regarding the Wave energy plant -MUTRIKU Plant, has been included: </w:t>
            </w:r>
            <w:hyperlink r:id="rId9" w:history="1">
              <w:r w:rsidRPr="0055734D">
                <w:rPr>
                  <w:rStyle w:val="Hyperlink"/>
                </w:rPr>
                <w:t>http://www.dw.de/spain-pumps-wave-power-onto-european-grid/a-16714308</w:t>
              </w:r>
            </w:hyperlink>
          </w:p>
        </w:tc>
      </w:tr>
      <w:tr w:rsidR="00C11BF8" w:rsidTr="007B2256">
        <w:tc>
          <w:tcPr>
            <w:cnfStyle w:val="001000000000" w:firstRow="0" w:lastRow="0" w:firstColumn="1" w:lastColumn="0" w:oddVBand="0" w:evenVBand="0" w:oddHBand="0" w:evenHBand="0" w:firstRowFirstColumn="0" w:firstRowLastColumn="0" w:lastRowFirstColumn="0" w:lastRowLastColumn="0"/>
            <w:tcW w:w="375" w:type="pct"/>
          </w:tcPr>
          <w:p w:rsidR="00C11BF8" w:rsidRPr="008A6A48" w:rsidRDefault="00C11BF8" w:rsidP="00BB407A">
            <w:pPr>
              <w:autoSpaceDE w:val="0"/>
              <w:autoSpaceDN w:val="0"/>
              <w:adjustRightInd w:val="0"/>
              <w:rPr>
                <w:b w:val="0"/>
              </w:rPr>
            </w:pPr>
            <w:r w:rsidRPr="008A6A48">
              <w:rPr>
                <w:b w:val="0"/>
              </w:rPr>
              <w:t>9</w:t>
            </w:r>
          </w:p>
        </w:tc>
        <w:tc>
          <w:tcPr>
            <w:tcW w:w="2026" w:type="pct"/>
          </w:tcPr>
          <w:p w:rsidR="00C11BF8" w:rsidRPr="006F7A79" w:rsidRDefault="00C11BF8" w:rsidP="006F7A79">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t xml:space="preserve">It would be </w:t>
            </w:r>
            <w:r w:rsidRPr="006F7A79">
              <w:t xml:space="preserve">useful if the floating offshore wind and fixed offshore wind deep waters/ swallow waters duality is more clearly stated in the reports, at least in some of them. </w:t>
            </w:r>
          </w:p>
        </w:tc>
        <w:tc>
          <w:tcPr>
            <w:tcW w:w="2600" w:type="pct"/>
          </w:tcPr>
          <w:p w:rsidR="00C11BF8" w:rsidRDefault="00C11BF8">
            <w:pPr>
              <w:cnfStyle w:val="000000000000" w:firstRow="0" w:lastRow="0" w:firstColumn="0" w:lastColumn="0" w:oddVBand="0" w:evenVBand="0" w:oddHBand="0" w:evenHBand="0" w:firstRowFirstColumn="0" w:firstRowLastColumn="0" w:lastRowFirstColumn="0" w:lastRowLastColumn="0"/>
            </w:pPr>
            <w:r>
              <w:t>Please see change in the OFFSHORE WIND Paragraph.</w:t>
            </w:r>
          </w:p>
        </w:tc>
      </w:tr>
      <w:tr w:rsidR="00C11BF8" w:rsidTr="007B22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5" w:type="pct"/>
          </w:tcPr>
          <w:p w:rsidR="00C11BF8" w:rsidRPr="008A6A48" w:rsidRDefault="00C11BF8" w:rsidP="00BB407A">
            <w:pPr>
              <w:autoSpaceDE w:val="0"/>
              <w:autoSpaceDN w:val="0"/>
              <w:adjustRightInd w:val="0"/>
              <w:rPr>
                <w:b w:val="0"/>
              </w:rPr>
            </w:pPr>
            <w:r w:rsidRPr="008A6A48">
              <w:rPr>
                <w:b w:val="0"/>
              </w:rPr>
              <w:t>10</w:t>
            </w:r>
          </w:p>
        </w:tc>
        <w:tc>
          <w:tcPr>
            <w:tcW w:w="2026" w:type="pct"/>
          </w:tcPr>
          <w:p w:rsidR="00C11BF8" w:rsidRPr="008A6A48" w:rsidRDefault="00C11BF8" w:rsidP="00051C80">
            <w:pPr>
              <w:autoSpaceDE w:val="0"/>
              <w:autoSpaceDN w:val="0"/>
              <w:adjustRightInd w:val="0"/>
              <w:cnfStyle w:val="000000100000" w:firstRow="0" w:lastRow="0" w:firstColumn="0" w:lastColumn="0" w:oddVBand="0" w:evenVBand="0" w:oddHBand="1" w:evenHBand="0" w:firstRowFirstColumn="0" w:firstRowLastColumn="0" w:lastRowFirstColumn="0" w:lastRowLastColumn="0"/>
            </w:pPr>
            <w:r w:rsidRPr="006F7A79">
              <w:t>The depth of the coastal waters in most of France and Spain and Portugal explains why there are no offshore wind parks yet until the floating technology achieves sufficient maturity.</w:t>
            </w:r>
          </w:p>
        </w:tc>
        <w:tc>
          <w:tcPr>
            <w:tcW w:w="2600" w:type="pct"/>
          </w:tcPr>
          <w:p w:rsidR="00C11BF8" w:rsidRDefault="00C11BF8" w:rsidP="00C11BF8">
            <w:pPr>
              <w:cnfStyle w:val="000000100000" w:firstRow="0" w:lastRow="0" w:firstColumn="0" w:lastColumn="0" w:oddVBand="0" w:evenVBand="0" w:oddHBand="1" w:evenHBand="0" w:firstRowFirstColumn="0" w:firstRowLastColumn="0" w:lastRowFirstColumn="0" w:lastRowLastColumn="0"/>
            </w:pPr>
            <w:r>
              <w:t>Inserted. Please see change in the OFFSHORE wind Paragraph.</w:t>
            </w:r>
          </w:p>
        </w:tc>
      </w:tr>
      <w:tr w:rsidR="00C11BF8" w:rsidTr="007B2256">
        <w:tc>
          <w:tcPr>
            <w:cnfStyle w:val="001000000000" w:firstRow="0" w:lastRow="0" w:firstColumn="1" w:lastColumn="0" w:oddVBand="0" w:evenVBand="0" w:oddHBand="0" w:evenHBand="0" w:firstRowFirstColumn="0" w:firstRowLastColumn="0" w:lastRowFirstColumn="0" w:lastRowLastColumn="0"/>
            <w:tcW w:w="375" w:type="pct"/>
          </w:tcPr>
          <w:p w:rsidR="00C11BF8" w:rsidRPr="008A6A48" w:rsidRDefault="00C11BF8">
            <w:pPr>
              <w:rPr>
                <w:b w:val="0"/>
              </w:rPr>
            </w:pPr>
            <w:r w:rsidRPr="008A6A48">
              <w:rPr>
                <w:b w:val="0"/>
              </w:rPr>
              <w:t>11</w:t>
            </w:r>
          </w:p>
        </w:tc>
        <w:tc>
          <w:tcPr>
            <w:tcW w:w="2026" w:type="pct"/>
          </w:tcPr>
          <w:p w:rsidR="00C11BF8" w:rsidRPr="008A6A48" w:rsidRDefault="00C11BF8" w:rsidP="00252548">
            <w:pPr>
              <w:cnfStyle w:val="000000000000" w:firstRow="0" w:lastRow="0" w:firstColumn="0" w:lastColumn="0" w:oddVBand="0" w:evenVBand="0" w:oddHBand="0" w:evenHBand="0" w:firstRowFirstColumn="0" w:firstRowLastColumn="0" w:lastRowFirstColumn="0" w:lastRowLastColumn="0"/>
            </w:pPr>
            <w:r w:rsidRPr="0070701C">
              <w:t>Regarding contacts to get regional employment and GVA data and information of the different maritime activities going on, as said earlier, I will be very happy to provide you or the consultants</w:t>
            </w:r>
          </w:p>
        </w:tc>
        <w:tc>
          <w:tcPr>
            <w:tcW w:w="2600" w:type="pct"/>
          </w:tcPr>
          <w:p w:rsidR="00C11BF8" w:rsidRDefault="00C11BF8" w:rsidP="0070701C">
            <w:pPr>
              <w:cnfStyle w:val="000000000000" w:firstRow="0" w:lastRow="0" w:firstColumn="0" w:lastColumn="0" w:oddVBand="0" w:evenVBand="0" w:oddHBand="0" w:evenHBand="0" w:firstRowFirstColumn="0" w:firstRowLastColumn="0" w:lastRowFirstColumn="0" w:lastRowLastColumn="0"/>
            </w:pPr>
            <w:r>
              <w:t xml:space="preserve">We will be very happy to get these contacts and ask them for the required information. Please let us know at </w:t>
            </w:r>
            <w:hyperlink r:id="rId10" w:history="1">
              <w:r w:rsidRPr="00DD01E6">
                <w:rPr>
                  <w:rStyle w:val="Hyperlink"/>
                </w:rPr>
                <w:t>martin.wegele@be.ecorys.com</w:t>
              </w:r>
            </w:hyperlink>
            <w:r>
              <w:t xml:space="preserve"> </w:t>
            </w:r>
          </w:p>
        </w:tc>
      </w:tr>
    </w:tbl>
    <w:p w:rsidR="0086787C" w:rsidRDefault="0086787C">
      <w:pPr>
        <w:rPr>
          <w:bCs/>
          <w:color w:val="000000" w:themeColor="text1" w:themeShade="BF"/>
        </w:rPr>
      </w:pPr>
    </w:p>
    <w:p w:rsidR="00252548" w:rsidRDefault="00252548">
      <w:r>
        <w:br w:type="page"/>
      </w:r>
    </w:p>
    <w:p w:rsidR="00252548" w:rsidRPr="001C2C8D" w:rsidRDefault="00252548" w:rsidP="00252548">
      <w:pPr>
        <w:rPr>
          <w:b/>
        </w:rPr>
      </w:pPr>
      <w:r w:rsidRPr="001C2C8D">
        <w:rPr>
          <w:b/>
          <w:highlight w:val="yellow"/>
        </w:rPr>
        <w:lastRenderedPageBreak/>
        <w:t xml:space="preserve">Comments </w:t>
      </w:r>
      <w:r w:rsidR="005C397E">
        <w:rPr>
          <w:b/>
          <w:highlight w:val="yellow"/>
        </w:rPr>
        <w:t xml:space="preserve">received </w:t>
      </w:r>
      <w:r w:rsidRPr="001C2C8D">
        <w:rPr>
          <w:b/>
          <w:highlight w:val="yellow"/>
        </w:rPr>
        <w:t xml:space="preserve">from </w:t>
      </w:r>
      <w:proofErr w:type="spellStart"/>
      <w:r w:rsidRPr="001C2C8D">
        <w:rPr>
          <w:b/>
          <w:highlight w:val="yellow"/>
        </w:rPr>
        <w:t>InnovaMAR</w:t>
      </w:r>
      <w:proofErr w:type="spellEnd"/>
      <w:r w:rsidR="001C5402" w:rsidRPr="001C5402">
        <w:t xml:space="preserve"> (uploaded on 16/09/2013)</w:t>
      </w:r>
    </w:p>
    <w:tbl>
      <w:tblPr>
        <w:tblStyle w:val="LightShading"/>
        <w:tblW w:w="4966" w:type="pct"/>
        <w:tblLayout w:type="fixed"/>
        <w:tblLook w:val="04A0" w:firstRow="1" w:lastRow="0" w:firstColumn="1" w:lastColumn="0" w:noHBand="0" w:noVBand="1"/>
      </w:tblPr>
      <w:tblGrid>
        <w:gridCol w:w="511"/>
        <w:gridCol w:w="3989"/>
        <w:gridCol w:w="4679"/>
      </w:tblGrid>
      <w:tr w:rsidR="00C11BF8" w:rsidTr="007B225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 w:type="pct"/>
          </w:tcPr>
          <w:p w:rsidR="00C11BF8" w:rsidRPr="008A6A48" w:rsidRDefault="00C11BF8" w:rsidP="00C11BF8">
            <w:pPr>
              <w:autoSpaceDE w:val="0"/>
              <w:autoSpaceDN w:val="0"/>
              <w:adjustRightInd w:val="0"/>
              <w:rPr>
                <w:b w:val="0"/>
              </w:rPr>
            </w:pPr>
            <w:r w:rsidRPr="008A6A48">
              <w:rPr>
                <w:b w:val="0"/>
              </w:rPr>
              <w:t>12</w:t>
            </w:r>
          </w:p>
        </w:tc>
        <w:tc>
          <w:tcPr>
            <w:tcW w:w="2173" w:type="pct"/>
          </w:tcPr>
          <w:p w:rsidR="00C11BF8" w:rsidRPr="00252548" w:rsidRDefault="00C11BF8" w:rsidP="00C11BF8">
            <w:pPr>
              <w:cnfStyle w:val="100000000000" w:firstRow="1" w:lastRow="0" w:firstColumn="0" w:lastColumn="0" w:oddVBand="0" w:evenVBand="0" w:oddHBand="0" w:evenHBand="0" w:firstRowFirstColumn="0" w:firstRowLastColumn="0" w:lastRowFirstColumn="0" w:lastRowLastColumn="0"/>
              <w:rPr>
                <w:b w:val="0"/>
              </w:rPr>
            </w:pPr>
            <w:proofErr w:type="spellStart"/>
            <w:r w:rsidRPr="00252548">
              <w:rPr>
                <w:b w:val="0"/>
              </w:rPr>
              <w:t>Innovamar</w:t>
            </w:r>
            <w:proofErr w:type="spellEnd"/>
            <w:r w:rsidRPr="00252548">
              <w:rPr>
                <w:b w:val="0"/>
              </w:rPr>
              <w:t xml:space="preserve"> completed for marine sub structure both supply and demand structure and integrated these subsectors in the National Accounts through the national input-output tables . Official data and surveys, time and resources do not seem to be part of the study ( final report presented in December).</w:t>
            </w:r>
          </w:p>
        </w:tc>
        <w:tc>
          <w:tcPr>
            <w:tcW w:w="2548" w:type="pct"/>
          </w:tcPr>
          <w:p w:rsidR="00C11BF8" w:rsidRPr="00252548" w:rsidRDefault="00C11BF8" w:rsidP="00C11BF8">
            <w:pPr>
              <w:cnfStyle w:val="100000000000" w:firstRow="1" w:lastRow="0" w:firstColumn="0" w:lastColumn="0" w:oddVBand="0" w:evenVBand="0" w:oddHBand="0" w:evenHBand="0" w:firstRowFirstColumn="0" w:firstRowLastColumn="0" w:lastRowFirstColumn="0" w:lastRowLastColumn="0"/>
              <w:rPr>
                <w:b w:val="0"/>
              </w:rPr>
            </w:pPr>
            <w:r w:rsidRPr="00252548">
              <w:rPr>
                <w:b w:val="0"/>
              </w:rPr>
              <w:t>An input/output analysis will be compiled for ES and attached as separate Annex to the draft final report. We are happy to link up with you on that.</w:t>
            </w:r>
          </w:p>
        </w:tc>
      </w:tr>
      <w:tr w:rsidR="00C11BF8" w:rsidRPr="00F426DE" w:rsidTr="007B22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 w:type="pct"/>
          </w:tcPr>
          <w:p w:rsidR="00C11BF8" w:rsidRPr="008A6A48" w:rsidRDefault="00C11BF8" w:rsidP="00C11BF8">
            <w:pPr>
              <w:autoSpaceDE w:val="0"/>
              <w:autoSpaceDN w:val="0"/>
              <w:adjustRightInd w:val="0"/>
              <w:rPr>
                <w:b w:val="0"/>
              </w:rPr>
            </w:pPr>
            <w:r w:rsidRPr="008A6A48">
              <w:rPr>
                <w:b w:val="0"/>
              </w:rPr>
              <w:t>13</w:t>
            </w:r>
          </w:p>
        </w:tc>
        <w:tc>
          <w:tcPr>
            <w:tcW w:w="2173" w:type="pct"/>
          </w:tcPr>
          <w:p w:rsidR="00C11BF8" w:rsidRPr="00F426DE" w:rsidRDefault="00C11BF8" w:rsidP="00C11BF8">
            <w:pPr>
              <w:cnfStyle w:val="000000100000" w:firstRow="0" w:lastRow="0" w:firstColumn="0" w:lastColumn="0" w:oddVBand="0" w:evenVBand="0" w:oddHBand="1" w:evenHBand="0" w:firstRowFirstColumn="0" w:firstRowLastColumn="0" w:lastRowFirstColumn="0" w:lastRowLastColumn="0"/>
            </w:pPr>
            <w:r>
              <w:t xml:space="preserve">For the </w:t>
            </w:r>
            <w:r w:rsidRPr="001C2C8D">
              <w:t xml:space="preserve">alternative sources and to Spain and work identifies and </w:t>
            </w:r>
            <w:proofErr w:type="spellStart"/>
            <w:r w:rsidRPr="001C2C8D">
              <w:t>Innovamar</w:t>
            </w:r>
            <w:proofErr w:type="spellEnd"/>
            <w:r w:rsidRPr="001C2C8D">
              <w:t xml:space="preserve"> CEET and </w:t>
            </w:r>
            <w:proofErr w:type="spellStart"/>
            <w:r w:rsidRPr="001C2C8D">
              <w:t>Innovamar</w:t>
            </w:r>
            <w:proofErr w:type="spellEnd"/>
            <w:r w:rsidRPr="001C2C8D">
              <w:t xml:space="preserve"> would have </w:t>
            </w:r>
            <w:r>
              <w:t xml:space="preserve">liked to get involved as </w:t>
            </w:r>
            <w:r w:rsidRPr="001C2C8D">
              <w:t>"national expert" of Spain .</w:t>
            </w:r>
          </w:p>
        </w:tc>
        <w:tc>
          <w:tcPr>
            <w:tcW w:w="2548" w:type="pct"/>
          </w:tcPr>
          <w:p w:rsidR="00C11BF8" w:rsidRPr="00F426DE" w:rsidRDefault="00C11BF8" w:rsidP="00C11BF8">
            <w:pPr>
              <w:cnfStyle w:val="000000100000" w:firstRow="0" w:lastRow="0" w:firstColumn="0" w:lastColumn="0" w:oddVBand="0" w:evenVBand="0" w:oddHBand="1" w:evenHBand="0" w:firstRowFirstColumn="0" w:firstRowLastColumn="0" w:lastRowFirstColumn="0" w:lastRowLastColumn="0"/>
            </w:pPr>
            <w:r>
              <w:t>Please clarify with DG MARE</w:t>
            </w:r>
          </w:p>
        </w:tc>
      </w:tr>
      <w:tr w:rsidR="00C11BF8" w:rsidTr="007B2256">
        <w:tc>
          <w:tcPr>
            <w:cnfStyle w:val="001000000000" w:firstRow="0" w:lastRow="0" w:firstColumn="1" w:lastColumn="0" w:oddVBand="0" w:evenVBand="0" w:oddHBand="0" w:evenHBand="0" w:firstRowFirstColumn="0" w:firstRowLastColumn="0" w:lastRowFirstColumn="0" w:lastRowLastColumn="0"/>
            <w:tcW w:w="278" w:type="pct"/>
          </w:tcPr>
          <w:p w:rsidR="00C11BF8" w:rsidRPr="008A6A48" w:rsidRDefault="00C11BF8" w:rsidP="00C11BF8">
            <w:pPr>
              <w:autoSpaceDE w:val="0"/>
              <w:autoSpaceDN w:val="0"/>
              <w:adjustRightInd w:val="0"/>
              <w:rPr>
                <w:b w:val="0"/>
              </w:rPr>
            </w:pPr>
            <w:r w:rsidRPr="008A6A48">
              <w:rPr>
                <w:b w:val="0"/>
              </w:rPr>
              <w:t>14</w:t>
            </w:r>
          </w:p>
        </w:tc>
        <w:tc>
          <w:tcPr>
            <w:tcW w:w="2173" w:type="pct"/>
          </w:tcPr>
          <w:p w:rsidR="00C11BF8" w:rsidRPr="008A6A48" w:rsidRDefault="00C11BF8" w:rsidP="00C11BF8">
            <w:pPr>
              <w:cnfStyle w:val="000000000000" w:firstRow="0" w:lastRow="0" w:firstColumn="0" w:lastColumn="0" w:oddVBand="0" w:evenVBand="0" w:oddHBand="0" w:evenHBand="0" w:firstRowFirstColumn="0" w:firstRowLastColumn="0" w:lastRowFirstColumn="0" w:lastRowLastColumn="0"/>
            </w:pPr>
            <w:r w:rsidRPr="001C2C8D">
              <w:t>The role of experts in this work will be quite important. Not only will they review the data that will be offered in GVA and employment but also other features that are to be studied for each activity as their innovation , sustainability and future development prospects . There is enough work qualitative / quantitative to be made by national experts.</w:t>
            </w:r>
          </w:p>
        </w:tc>
        <w:tc>
          <w:tcPr>
            <w:tcW w:w="2548" w:type="pct"/>
          </w:tcPr>
          <w:p w:rsidR="00C11BF8" w:rsidRDefault="00C11BF8" w:rsidP="00C11BF8">
            <w:pPr>
              <w:cnfStyle w:val="000000000000" w:firstRow="0" w:lastRow="0" w:firstColumn="0" w:lastColumn="0" w:oddVBand="0" w:evenVBand="0" w:oddHBand="0" w:evenHBand="0" w:firstRowFirstColumn="0" w:firstRowLastColumn="0" w:lastRowFirstColumn="0" w:lastRowLastColumn="0"/>
            </w:pPr>
            <w:r>
              <w:t>As agreed with DG MARE, EU Member States and related institutions will have 1 month time to comment on the draft final country fiches (one-round-of-comments), from 18</w:t>
            </w:r>
            <w:r w:rsidRPr="009255C9">
              <w:rPr>
                <w:vertAlign w:val="superscript"/>
              </w:rPr>
              <w:t>th</w:t>
            </w:r>
            <w:r>
              <w:t xml:space="preserve"> Oct. to 15</w:t>
            </w:r>
            <w:r w:rsidRPr="009255C9">
              <w:rPr>
                <w:vertAlign w:val="superscript"/>
              </w:rPr>
              <w:t>th</w:t>
            </w:r>
            <w:r>
              <w:t xml:space="preserve"> Nov. 2013. After that, comments will be addressed (where appropriate) by the research team and draft final country fiches produced. </w:t>
            </w:r>
          </w:p>
        </w:tc>
      </w:tr>
      <w:tr w:rsidR="00C11BF8" w:rsidTr="007B22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 w:type="pct"/>
          </w:tcPr>
          <w:p w:rsidR="00C11BF8" w:rsidRPr="008A6A48" w:rsidRDefault="00C11BF8" w:rsidP="00C11BF8">
            <w:pPr>
              <w:autoSpaceDE w:val="0"/>
              <w:autoSpaceDN w:val="0"/>
              <w:adjustRightInd w:val="0"/>
              <w:rPr>
                <w:b w:val="0"/>
              </w:rPr>
            </w:pPr>
            <w:r w:rsidRPr="008A6A48">
              <w:rPr>
                <w:b w:val="0"/>
              </w:rPr>
              <w:t>15</w:t>
            </w:r>
          </w:p>
        </w:tc>
        <w:tc>
          <w:tcPr>
            <w:tcW w:w="2173" w:type="pct"/>
          </w:tcPr>
          <w:p w:rsidR="00C11BF8" w:rsidRPr="00252548" w:rsidRDefault="00C11BF8" w:rsidP="00C11BF8">
            <w:pPr>
              <w:cnfStyle w:val="000000100000" w:firstRow="0" w:lastRow="0" w:firstColumn="0" w:lastColumn="0" w:oddVBand="0" w:evenVBand="0" w:oddHBand="1" w:evenHBand="0" w:firstRowFirstColumn="0" w:firstRowLastColumn="0" w:lastRowFirstColumn="0" w:lastRowLastColumn="0"/>
            </w:pPr>
            <w:r w:rsidRPr="001C2C8D">
              <w:t>this is a job that will try to unify sources and connections for "indicators" to monitor maritime activity and strength for future growth . There is thus an exercise in "structural" identification and quantification of sea sectors in each country 's GDP . It is rather an exercise of delimitation of economic indicators in order to make a foresight of future development and follow in time.</w:t>
            </w:r>
          </w:p>
        </w:tc>
        <w:tc>
          <w:tcPr>
            <w:tcW w:w="2548" w:type="pct"/>
          </w:tcPr>
          <w:p w:rsidR="00C11BF8" w:rsidRDefault="00C11BF8" w:rsidP="00C11BF8">
            <w:pPr>
              <w:cnfStyle w:val="000000100000" w:firstRow="0" w:lastRow="0" w:firstColumn="0" w:lastColumn="0" w:oddVBand="0" w:evenVBand="0" w:oddHBand="1" w:evenHBand="0" w:firstRowFirstColumn="0" w:firstRowLastColumn="0" w:lastRowFirstColumn="0" w:lastRowLastColumn="0"/>
            </w:pPr>
            <w:r>
              <w:t>Please specify what you mean</w:t>
            </w:r>
          </w:p>
        </w:tc>
      </w:tr>
    </w:tbl>
    <w:p w:rsidR="001C2C8D" w:rsidRDefault="001C2C8D"/>
    <w:p w:rsidR="007B420F" w:rsidRDefault="007B420F">
      <w:r>
        <w:br w:type="page"/>
      </w:r>
    </w:p>
    <w:p w:rsidR="007B420F" w:rsidRPr="007B420F" w:rsidRDefault="007B420F" w:rsidP="007B420F">
      <w:pPr>
        <w:rPr>
          <w:highlight w:val="yellow"/>
        </w:rPr>
      </w:pPr>
      <w:r w:rsidRPr="001C5402">
        <w:rPr>
          <w:highlight w:val="yellow"/>
        </w:rPr>
        <w:lastRenderedPageBreak/>
        <w:t xml:space="preserve">Information received from Teresa Molina </w:t>
      </w:r>
      <w:proofErr w:type="spellStart"/>
      <w:r w:rsidRPr="001C5402">
        <w:rPr>
          <w:highlight w:val="yellow"/>
        </w:rPr>
        <w:t>Schmid</w:t>
      </w:r>
      <w:proofErr w:type="spellEnd"/>
      <w:r w:rsidR="001C5402" w:rsidRPr="001C5402">
        <w:rPr>
          <w:highlight w:val="yellow"/>
        </w:rPr>
        <w:t xml:space="preserve">, </w:t>
      </w:r>
      <w:proofErr w:type="spellStart"/>
      <w:r w:rsidRPr="001C5402">
        <w:rPr>
          <w:highlight w:val="yellow"/>
        </w:rPr>
        <w:t>Dirección</w:t>
      </w:r>
      <w:proofErr w:type="spellEnd"/>
      <w:r w:rsidRPr="001C5402">
        <w:rPr>
          <w:highlight w:val="yellow"/>
        </w:rPr>
        <w:t xml:space="preserve"> General de </w:t>
      </w:r>
      <w:proofErr w:type="spellStart"/>
      <w:r w:rsidRPr="001C5402">
        <w:rPr>
          <w:highlight w:val="yellow"/>
        </w:rPr>
        <w:t>Coordinación</w:t>
      </w:r>
      <w:proofErr w:type="spellEnd"/>
      <w:r w:rsidRPr="001C5402">
        <w:rPr>
          <w:highlight w:val="yellow"/>
        </w:rPr>
        <w:t xml:space="preserve"> de </w:t>
      </w:r>
      <w:proofErr w:type="spellStart"/>
      <w:r w:rsidRPr="001C5402">
        <w:rPr>
          <w:highlight w:val="yellow"/>
        </w:rPr>
        <w:t>Políticas</w:t>
      </w:r>
      <w:proofErr w:type="spellEnd"/>
      <w:r w:rsidRPr="001C5402">
        <w:rPr>
          <w:highlight w:val="yellow"/>
        </w:rPr>
        <w:t xml:space="preserve"> </w:t>
      </w:r>
      <w:proofErr w:type="spellStart"/>
      <w:r w:rsidRPr="001C5402">
        <w:rPr>
          <w:highlight w:val="yellow"/>
        </w:rPr>
        <w:t>Comunes</w:t>
      </w:r>
      <w:proofErr w:type="spellEnd"/>
      <w:r w:rsidRPr="001C5402">
        <w:rPr>
          <w:highlight w:val="yellow"/>
        </w:rPr>
        <w:t xml:space="preserve">, y </w:t>
      </w:r>
      <w:proofErr w:type="spellStart"/>
      <w:r w:rsidRPr="001C5402">
        <w:rPr>
          <w:highlight w:val="yellow"/>
        </w:rPr>
        <w:t>Asuntos</w:t>
      </w:r>
      <w:proofErr w:type="spellEnd"/>
      <w:r w:rsidRPr="001C5402">
        <w:rPr>
          <w:highlight w:val="yellow"/>
        </w:rPr>
        <w:t xml:space="preserve"> </w:t>
      </w:r>
      <w:proofErr w:type="spellStart"/>
      <w:r w:rsidRPr="001C5402">
        <w:rPr>
          <w:highlight w:val="yellow"/>
        </w:rPr>
        <w:t>Generales</w:t>
      </w:r>
      <w:proofErr w:type="spellEnd"/>
      <w:r w:rsidRPr="001C5402">
        <w:rPr>
          <w:highlight w:val="yellow"/>
        </w:rPr>
        <w:t xml:space="preserve"> de la UE</w:t>
      </w:r>
      <w:r w:rsidR="001C5402" w:rsidRPr="001C5402">
        <w:rPr>
          <w:highlight w:val="yellow"/>
        </w:rPr>
        <w:t xml:space="preserve">, </w:t>
      </w:r>
      <w:proofErr w:type="spellStart"/>
      <w:r w:rsidRPr="001C5402">
        <w:rPr>
          <w:highlight w:val="yellow"/>
        </w:rPr>
        <w:t>Secretaría</w:t>
      </w:r>
      <w:proofErr w:type="spellEnd"/>
      <w:r w:rsidRPr="001C5402">
        <w:rPr>
          <w:highlight w:val="yellow"/>
        </w:rPr>
        <w:t xml:space="preserve"> de Estado </w:t>
      </w:r>
      <w:proofErr w:type="spellStart"/>
      <w:r w:rsidRPr="001C5402">
        <w:rPr>
          <w:highlight w:val="yellow"/>
        </w:rPr>
        <w:t>para</w:t>
      </w:r>
      <w:proofErr w:type="spellEnd"/>
      <w:r w:rsidRPr="001C5402">
        <w:rPr>
          <w:highlight w:val="yellow"/>
        </w:rPr>
        <w:t xml:space="preserve"> la Unión </w:t>
      </w:r>
      <w:proofErr w:type="spellStart"/>
      <w:r w:rsidRPr="001C5402">
        <w:rPr>
          <w:highlight w:val="yellow"/>
        </w:rPr>
        <w:t>Europea</w:t>
      </w:r>
      <w:bookmarkStart w:id="0" w:name="_GoBack"/>
      <w:bookmarkEnd w:id="0"/>
      <w:proofErr w:type="spellEnd"/>
      <w:r w:rsidR="001C5402">
        <w:t xml:space="preserve"> </w:t>
      </w:r>
      <w:r w:rsidR="001C5402">
        <w:br/>
        <w:t>(uploaded on 16/09/2013)</w:t>
      </w:r>
    </w:p>
    <w:tbl>
      <w:tblPr>
        <w:tblStyle w:val="LightShading"/>
        <w:tblW w:w="4890" w:type="pct"/>
        <w:tblLayout w:type="fixed"/>
        <w:tblLook w:val="04A0" w:firstRow="1" w:lastRow="0" w:firstColumn="1" w:lastColumn="0" w:noHBand="0" w:noVBand="1"/>
      </w:tblPr>
      <w:tblGrid>
        <w:gridCol w:w="533"/>
        <w:gridCol w:w="4250"/>
        <w:gridCol w:w="4256"/>
      </w:tblGrid>
      <w:tr w:rsidR="007B2256" w:rsidTr="007B225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 w:type="pct"/>
          </w:tcPr>
          <w:p w:rsidR="007B2256" w:rsidRPr="008A6A48" w:rsidRDefault="007B2256" w:rsidP="00C11BF8">
            <w:pPr>
              <w:autoSpaceDE w:val="0"/>
              <w:autoSpaceDN w:val="0"/>
              <w:adjustRightInd w:val="0"/>
              <w:rPr>
                <w:b w:val="0"/>
              </w:rPr>
            </w:pPr>
            <w:r w:rsidRPr="008A6A48">
              <w:rPr>
                <w:b w:val="0"/>
              </w:rPr>
              <w:t>17</w:t>
            </w:r>
          </w:p>
        </w:tc>
        <w:tc>
          <w:tcPr>
            <w:tcW w:w="2351" w:type="pct"/>
          </w:tcPr>
          <w:p w:rsidR="007B2256" w:rsidRPr="00C11BF8" w:rsidRDefault="007B2256" w:rsidP="00C11BF8">
            <w:pPr>
              <w:cnfStyle w:val="100000000000" w:firstRow="1" w:lastRow="0" w:firstColumn="0" w:lastColumn="0" w:oddVBand="0" w:evenVBand="0" w:oddHBand="0" w:evenHBand="0" w:firstRowFirstColumn="0" w:firstRowLastColumn="0" w:lastRowFirstColumn="0" w:lastRowLastColumn="0"/>
              <w:rPr>
                <w:b w:val="0"/>
              </w:rPr>
            </w:pPr>
            <w:r w:rsidRPr="00C11BF8">
              <w:rPr>
                <w:b w:val="0"/>
              </w:rPr>
              <w:t>Spain has the largest coastline of all EU countries, with a total of 7880 km of coastline (km and not km3!) bordering the Iberian peninsula and the Canary and Balearic Islands.</w:t>
            </w:r>
          </w:p>
        </w:tc>
        <w:tc>
          <w:tcPr>
            <w:tcW w:w="2354" w:type="pct"/>
          </w:tcPr>
          <w:p w:rsidR="007B2256" w:rsidRPr="00C11BF8" w:rsidRDefault="007B2256" w:rsidP="00C11BF8">
            <w:pPr>
              <w:cnfStyle w:val="100000000000" w:firstRow="1" w:lastRow="0" w:firstColumn="0" w:lastColumn="0" w:oddVBand="0" w:evenVBand="0" w:oddHBand="0" w:evenHBand="0" w:firstRowFirstColumn="0" w:firstRowLastColumn="0" w:lastRowFirstColumn="0" w:lastRowLastColumn="0"/>
              <w:rPr>
                <w:b w:val="0"/>
              </w:rPr>
            </w:pPr>
            <w:r w:rsidRPr="00C11BF8">
              <w:rPr>
                <w:b w:val="0"/>
              </w:rPr>
              <w:t>Modified accordingly</w:t>
            </w:r>
          </w:p>
        </w:tc>
      </w:tr>
      <w:tr w:rsidR="007B2256" w:rsidTr="007B22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 w:type="pct"/>
          </w:tcPr>
          <w:p w:rsidR="007B2256" w:rsidRPr="008A6A48" w:rsidRDefault="007B2256" w:rsidP="00C11BF8">
            <w:pPr>
              <w:autoSpaceDE w:val="0"/>
              <w:autoSpaceDN w:val="0"/>
              <w:adjustRightInd w:val="0"/>
              <w:rPr>
                <w:b w:val="0"/>
              </w:rPr>
            </w:pPr>
            <w:r w:rsidRPr="008A6A48">
              <w:rPr>
                <w:b w:val="0"/>
              </w:rPr>
              <w:t>18</w:t>
            </w:r>
          </w:p>
        </w:tc>
        <w:tc>
          <w:tcPr>
            <w:tcW w:w="2351" w:type="pct"/>
          </w:tcPr>
          <w:p w:rsidR="007B2256" w:rsidRPr="008A6A48" w:rsidRDefault="007B2256" w:rsidP="00C11BF8">
            <w:pPr>
              <w:cnfStyle w:val="000000100000" w:firstRow="0" w:lastRow="0" w:firstColumn="0" w:lastColumn="0" w:oddVBand="0" w:evenVBand="0" w:oddHBand="1" w:evenHBand="0" w:firstRowFirstColumn="0" w:firstRowLastColumn="0" w:lastRowFirstColumn="0" w:lastRowLastColumn="0"/>
            </w:pPr>
            <w:r w:rsidRPr="009255C9">
              <w:t xml:space="preserve">The correct name of the Spanish Institute of </w:t>
            </w:r>
            <w:proofErr w:type="spellStart"/>
            <w:r w:rsidRPr="009255C9">
              <w:t>Oceanograhy</w:t>
            </w:r>
            <w:proofErr w:type="spellEnd"/>
            <w:r w:rsidRPr="009255C9">
              <w:t xml:space="preserve"> is “</w:t>
            </w:r>
            <w:proofErr w:type="spellStart"/>
            <w:r w:rsidRPr="009255C9">
              <w:t>Instituto</w:t>
            </w:r>
            <w:proofErr w:type="spellEnd"/>
            <w:r w:rsidRPr="009255C9">
              <w:t xml:space="preserve"> </w:t>
            </w:r>
            <w:proofErr w:type="spellStart"/>
            <w:r w:rsidRPr="009255C9">
              <w:t>Español</w:t>
            </w:r>
            <w:proofErr w:type="spellEnd"/>
            <w:r w:rsidRPr="009255C9">
              <w:t xml:space="preserve"> de </w:t>
            </w:r>
            <w:proofErr w:type="spellStart"/>
            <w:r w:rsidRPr="009255C9">
              <w:t>Oceanografía</w:t>
            </w:r>
            <w:proofErr w:type="spellEnd"/>
            <w:r w:rsidRPr="009255C9">
              <w:t>”. In the ECORYS draft the Institute appears with two different names.</w:t>
            </w:r>
          </w:p>
        </w:tc>
        <w:tc>
          <w:tcPr>
            <w:tcW w:w="2354" w:type="pct"/>
          </w:tcPr>
          <w:p w:rsidR="007B2256" w:rsidRDefault="007B2256" w:rsidP="00C11BF8">
            <w:pPr>
              <w:cnfStyle w:val="000000100000" w:firstRow="0" w:lastRow="0" w:firstColumn="0" w:lastColumn="0" w:oddVBand="0" w:evenVBand="0" w:oddHBand="1" w:evenHBand="0" w:firstRowFirstColumn="0" w:firstRowLastColumn="0" w:lastRowFirstColumn="0" w:lastRowLastColumn="0"/>
            </w:pPr>
            <w:r>
              <w:t>The name has been modified accordingly.</w:t>
            </w:r>
          </w:p>
        </w:tc>
      </w:tr>
      <w:tr w:rsidR="007B2256" w:rsidRPr="006F6958" w:rsidTr="007B2256">
        <w:tc>
          <w:tcPr>
            <w:cnfStyle w:val="001000000000" w:firstRow="0" w:lastRow="0" w:firstColumn="1" w:lastColumn="0" w:oddVBand="0" w:evenVBand="0" w:oddHBand="0" w:evenHBand="0" w:firstRowFirstColumn="0" w:firstRowLastColumn="0" w:lastRowFirstColumn="0" w:lastRowLastColumn="0"/>
            <w:tcW w:w="295" w:type="pct"/>
          </w:tcPr>
          <w:p w:rsidR="007B2256" w:rsidRPr="008A6A48" w:rsidRDefault="007B2256" w:rsidP="00C11BF8">
            <w:pPr>
              <w:autoSpaceDE w:val="0"/>
              <w:autoSpaceDN w:val="0"/>
              <w:adjustRightInd w:val="0"/>
              <w:rPr>
                <w:b w:val="0"/>
              </w:rPr>
            </w:pPr>
            <w:r w:rsidRPr="008A6A48">
              <w:rPr>
                <w:b w:val="0"/>
              </w:rPr>
              <w:t>19</w:t>
            </w:r>
          </w:p>
        </w:tc>
        <w:tc>
          <w:tcPr>
            <w:tcW w:w="2351" w:type="pct"/>
          </w:tcPr>
          <w:p w:rsidR="007B2256" w:rsidRPr="006F6958" w:rsidRDefault="007B2256" w:rsidP="00C11BF8">
            <w:pPr>
              <w:cnfStyle w:val="000000000000" w:firstRow="0" w:lastRow="0" w:firstColumn="0" w:lastColumn="0" w:oddVBand="0" w:evenVBand="0" w:oddHBand="0" w:evenHBand="0" w:firstRowFirstColumn="0" w:firstRowLastColumn="0" w:lastRowFirstColumn="0" w:lastRowLastColumn="0"/>
            </w:pPr>
            <w:r w:rsidRPr="006F6958">
              <w:t xml:space="preserve">In Spain, </w:t>
            </w:r>
            <w:r w:rsidRPr="00C11BF8">
              <w:t>the sea workers, occupied in maritime fishing and transport, in loading and unloading</w:t>
            </w:r>
            <w:r w:rsidRPr="006F6958">
              <w:rPr>
                <w:b/>
              </w:rPr>
              <w:t>,</w:t>
            </w:r>
            <w:r w:rsidRPr="006F6958">
              <w:t xml:space="preserve"> and other activities of the maritime fishing sector, are included in a Special Social Security Scheme, namely the Social Security Special Scheme for Maritime Workers.</w:t>
            </w:r>
          </w:p>
        </w:tc>
        <w:tc>
          <w:tcPr>
            <w:tcW w:w="2354" w:type="pct"/>
          </w:tcPr>
          <w:p w:rsidR="007B2256" w:rsidRPr="006F6958" w:rsidRDefault="007B2256" w:rsidP="00C11BF8">
            <w:pPr>
              <w:cnfStyle w:val="000000000000" w:firstRow="0" w:lastRow="0" w:firstColumn="0" w:lastColumn="0" w:oddVBand="0" w:evenVBand="0" w:oddHBand="0" w:evenHBand="0" w:firstRowFirstColumn="0" w:firstRowLastColumn="0" w:lastRowFirstColumn="0" w:lastRowLastColumn="0"/>
            </w:pPr>
            <w:r w:rsidRPr="006F6958">
              <w:t>Included as a footnote for fishing activities.</w:t>
            </w:r>
          </w:p>
        </w:tc>
      </w:tr>
      <w:tr w:rsidR="007B2256" w:rsidTr="007B22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 w:type="pct"/>
          </w:tcPr>
          <w:p w:rsidR="007B2256" w:rsidRPr="008A6A48" w:rsidRDefault="007B2256" w:rsidP="00C11BF8">
            <w:pPr>
              <w:autoSpaceDE w:val="0"/>
              <w:autoSpaceDN w:val="0"/>
              <w:adjustRightInd w:val="0"/>
              <w:rPr>
                <w:b w:val="0"/>
              </w:rPr>
            </w:pPr>
            <w:r w:rsidRPr="008A6A48">
              <w:rPr>
                <w:b w:val="0"/>
              </w:rPr>
              <w:t>20</w:t>
            </w:r>
          </w:p>
        </w:tc>
        <w:tc>
          <w:tcPr>
            <w:tcW w:w="2351" w:type="pct"/>
          </w:tcPr>
          <w:p w:rsidR="007B2256" w:rsidRPr="008A6A48" w:rsidRDefault="007B2256" w:rsidP="00C11BF8">
            <w:pPr>
              <w:cnfStyle w:val="000000100000" w:firstRow="0" w:lastRow="0" w:firstColumn="0" w:lastColumn="0" w:oddVBand="0" w:evenVBand="0" w:oddHBand="1" w:evenHBand="0" w:firstRowFirstColumn="0" w:firstRowLastColumn="0" w:lastRowFirstColumn="0" w:lastRowLastColumn="0"/>
            </w:pPr>
            <w:r w:rsidRPr="00EC6F7A">
              <w:t>Coastal Tourism is not included in the study, and its importance present and future for the Spanish economy cannot be denied.</w:t>
            </w:r>
          </w:p>
        </w:tc>
        <w:tc>
          <w:tcPr>
            <w:tcW w:w="2354" w:type="pct"/>
          </w:tcPr>
          <w:p w:rsidR="007B2256" w:rsidRDefault="007B2256" w:rsidP="00C11BF8">
            <w:pPr>
              <w:cnfStyle w:val="000000100000" w:firstRow="0" w:lastRow="0" w:firstColumn="0" w:lastColumn="0" w:oddVBand="0" w:evenVBand="0" w:oddHBand="1" w:evenHBand="0" w:firstRowFirstColumn="0" w:firstRowLastColumn="0" w:lastRowFirstColumn="0" w:lastRowLastColumn="0"/>
            </w:pPr>
            <w:r>
              <w:t>Please note comment in the paragraph dedicated to Coastal Tourism.</w:t>
            </w:r>
          </w:p>
        </w:tc>
      </w:tr>
      <w:tr w:rsidR="007B2256" w:rsidRPr="00EC6F7A" w:rsidTr="007B2256">
        <w:tc>
          <w:tcPr>
            <w:cnfStyle w:val="001000000000" w:firstRow="0" w:lastRow="0" w:firstColumn="1" w:lastColumn="0" w:oddVBand="0" w:evenVBand="0" w:oddHBand="0" w:evenHBand="0" w:firstRowFirstColumn="0" w:firstRowLastColumn="0" w:lastRowFirstColumn="0" w:lastRowLastColumn="0"/>
            <w:tcW w:w="295" w:type="pct"/>
          </w:tcPr>
          <w:p w:rsidR="007B2256" w:rsidRPr="008A6A48" w:rsidRDefault="007B2256" w:rsidP="00C11BF8">
            <w:pPr>
              <w:autoSpaceDE w:val="0"/>
              <w:autoSpaceDN w:val="0"/>
              <w:adjustRightInd w:val="0"/>
              <w:rPr>
                <w:b w:val="0"/>
              </w:rPr>
            </w:pPr>
            <w:r w:rsidRPr="008A6A48">
              <w:rPr>
                <w:b w:val="0"/>
              </w:rPr>
              <w:t>21</w:t>
            </w:r>
          </w:p>
        </w:tc>
        <w:tc>
          <w:tcPr>
            <w:tcW w:w="2351" w:type="pct"/>
          </w:tcPr>
          <w:p w:rsidR="007B2256" w:rsidRPr="008A6A48" w:rsidRDefault="007B2256" w:rsidP="00C11BF8">
            <w:pPr>
              <w:cnfStyle w:val="000000000000" w:firstRow="0" w:lastRow="0" w:firstColumn="0" w:lastColumn="0" w:oddVBand="0" w:evenVBand="0" w:oddHBand="0" w:evenHBand="0" w:firstRowFirstColumn="0" w:firstRowLastColumn="0" w:lastRowFirstColumn="0" w:lastRowLastColumn="0"/>
            </w:pPr>
            <w:r w:rsidRPr="00EC6F7A">
              <w:t>-</w:t>
            </w:r>
            <w:r w:rsidRPr="00EC6F7A">
              <w:tab/>
              <w:t>The study about offshore wind energy should also be taken into account,</w:t>
            </w:r>
          </w:p>
        </w:tc>
        <w:tc>
          <w:tcPr>
            <w:tcW w:w="2354" w:type="pct"/>
          </w:tcPr>
          <w:p w:rsidR="007B2256" w:rsidRDefault="007B2256" w:rsidP="00C11BF8">
            <w:pPr>
              <w:cnfStyle w:val="000000000000" w:firstRow="0" w:lastRow="0" w:firstColumn="0" w:lastColumn="0" w:oddVBand="0" w:evenVBand="0" w:oddHBand="0" w:evenHBand="0" w:firstRowFirstColumn="0" w:firstRowLastColumn="0" w:lastRowFirstColumn="0" w:lastRowLastColumn="0"/>
            </w:pPr>
            <w:r>
              <w:t>Please specify the source of the study you mentioned. We can then review it and include it in the qualitative review (if appropriate)</w:t>
            </w:r>
          </w:p>
        </w:tc>
      </w:tr>
      <w:tr w:rsidR="007B2256" w:rsidRPr="004E2C27" w:rsidTr="007B22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 w:type="pct"/>
          </w:tcPr>
          <w:p w:rsidR="007B2256" w:rsidRPr="002F53F4" w:rsidRDefault="007B2256" w:rsidP="00C11BF8">
            <w:pPr>
              <w:autoSpaceDE w:val="0"/>
              <w:autoSpaceDN w:val="0"/>
              <w:adjustRightInd w:val="0"/>
              <w:rPr>
                <w:b w:val="0"/>
              </w:rPr>
            </w:pPr>
            <w:r w:rsidRPr="002F53F4">
              <w:rPr>
                <w:b w:val="0"/>
              </w:rPr>
              <w:t>22</w:t>
            </w:r>
          </w:p>
        </w:tc>
        <w:tc>
          <w:tcPr>
            <w:tcW w:w="2351" w:type="pct"/>
          </w:tcPr>
          <w:p w:rsidR="007B2256" w:rsidRPr="008A6A48" w:rsidRDefault="007B2256" w:rsidP="00C11BF8">
            <w:pPr>
              <w:cnfStyle w:val="000000100000" w:firstRow="0" w:lastRow="0" w:firstColumn="0" w:lastColumn="0" w:oddVBand="0" w:evenVBand="0" w:oddHBand="1" w:evenHBand="0" w:firstRowFirstColumn="0" w:firstRowLastColumn="0" w:lastRowFirstColumn="0" w:lastRowLastColumn="0"/>
            </w:pPr>
            <w:r w:rsidRPr="00EC6F7A">
              <w:t>-</w:t>
            </w:r>
            <w:r w:rsidRPr="00EC6F7A">
              <w:tab/>
              <w:t xml:space="preserve">“Catching fish for human consumption”, should have more then “0” for innovation (see information of PTEPA in </w:t>
            </w:r>
            <w:hyperlink r:id="rId11" w:history="1">
              <w:r w:rsidRPr="00BB357A">
                <w:rPr>
                  <w:rStyle w:val="Hyperlink"/>
                </w:rPr>
                <w:t>http://ptepa.org/index.php/documentos/documentosptepa</w:t>
              </w:r>
            </w:hyperlink>
            <w:r w:rsidRPr="00EC6F7A">
              <w:t>)</w:t>
            </w:r>
            <w:r>
              <w:t xml:space="preserve"> </w:t>
            </w:r>
          </w:p>
        </w:tc>
        <w:tc>
          <w:tcPr>
            <w:tcW w:w="2354" w:type="pct"/>
          </w:tcPr>
          <w:p w:rsidR="007B2256" w:rsidRDefault="007B2256">
            <w:pPr>
              <w:cnfStyle w:val="000000100000" w:firstRow="0" w:lastRow="0" w:firstColumn="0" w:lastColumn="0" w:oddVBand="0" w:evenVBand="0" w:oddHBand="1" w:evenHBand="0" w:firstRowFirstColumn="0" w:firstRowLastColumn="0" w:lastRowFirstColumn="0" w:lastRowLastColumn="0"/>
            </w:pPr>
            <w:r w:rsidRPr="00EE0C22">
              <w:t>This comment has  been taken into account. Please see change.</w:t>
            </w:r>
          </w:p>
        </w:tc>
      </w:tr>
      <w:tr w:rsidR="007B2256" w:rsidTr="007B2256">
        <w:tc>
          <w:tcPr>
            <w:cnfStyle w:val="001000000000" w:firstRow="0" w:lastRow="0" w:firstColumn="1" w:lastColumn="0" w:oddVBand="0" w:evenVBand="0" w:oddHBand="0" w:evenHBand="0" w:firstRowFirstColumn="0" w:firstRowLastColumn="0" w:lastRowFirstColumn="0" w:lastRowLastColumn="0"/>
            <w:tcW w:w="295" w:type="pct"/>
          </w:tcPr>
          <w:p w:rsidR="007B2256" w:rsidRPr="002F53F4" w:rsidRDefault="007B2256" w:rsidP="00C11BF8">
            <w:pPr>
              <w:autoSpaceDE w:val="0"/>
              <w:autoSpaceDN w:val="0"/>
              <w:adjustRightInd w:val="0"/>
              <w:rPr>
                <w:b w:val="0"/>
              </w:rPr>
            </w:pPr>
            <w:r w:rsidRPr="002F53F4">
              <w:rPr>
                <w:b w:val="0"/>
              </w:rPr>
              <w:t>23</w:t>
            </w:r>
          </w:p>
        </w:tc>
        <w:tc>
          <w:tcPr>
            <w:tcW w:w="2351" w:type="pct"/>
          </w:tcPr>
          <w:p w:rsidR="007B2256" w:rsidRPr="007F3834" w:rsidRDefault="007B2256" w:rsidP="00C11BF8">
            <w:pPr>
              <w:autoSpaceDE w:val="0"/>
              <w:autoSpaceDN w:val="0"/>
              <w:adjustRightInd w:val="0"/>
              <w:cnfStyle w:val="000000000000" w:firstRow="0" w:lastRow="0" w:firstColumn="0" w:lastColumn="0" w:oddVBand="0" w:evenVBand="0" w:oddHBand="0" w:evenHBand="0" w:firstRowFirstColumn="0" w:firstRowLastColumn="0" w:lastRowFirstColumn="0" w:lastRowLastColumn="0"/>
              <w:rPr>
                <w:lang w:val="es-ES"/>
              </w:rPr>
            </w:pPr>
            <w:r>
              <w:t>-</w:t>
            </w:r>
            <w:r>
              <w:tab/>
              <w:t xml:space="preserve">The MAGRAMA – </w:t>
            </w:r>
            <w:proofErr w:type="spellStart"/>
            <w:r>
              <w:t>Ministerio</w:t>
            </w:r>
            <w:proofErr w:type="spellEnd"/>
            <w:r>
              <w:t xml:space="preserve"> de </w:t>
            </w:r>
            <w:proofErr w:type="spellStart"/>
            <w:r>
              <w:t>Agricultura</w:t>
            </w:r>
            <w:proofErr w:type="spellEnd"/>
            <w:r>
              <w:t xml:space="preserve">, </w:t>
            </w:r>
            <w:proofErr w:type="spellStart"/>
            <w:r>
              <w:t>Alimentación</w:t>
            </w:r>
            <w:proofErr w:type="spellEnd"/>
            <w:r>
              <w:t xml:space="preserve"> y </w:t>
            </w:r>
            <w:proofErr w:type="spellStart"/>
            <w:r>
              <w:t>Medio</w:t>
            </w:r>
            <w:proofErr w:type="spellEnd"/>
            <w:r>
              <w:t xml:space="preserve"> </w:t>
            </w:r>
            <w:proofErr w:type="spellStart"/>
            <w:r>
              <w:t>Ambiente</w:t>
            </w:r>
            <w:proofErr w:type="spellEnd"/>
            <w:r>
              <w:t xml:space="preserve"> is the Ministry competent for environmental protection of the marine environment (</w:t>
            </w:r>
            <w:proofErr w:type="spellStart"/>
            <w:r>
              <w:t>División</w:t>
            </w:r>
            <w:proofErr w:type="spellEnd"/>
            <w:r>
              <w:t xml:space="preserve"> </w:t>
            </w:r>
            <w:proofErr w:type="spellStart"/>
            <w:r>
              <w:t>para</w:t>
            </w:r>
            <w:proofErr w:type="spellEnd"/>
            <w:r>
              <w:t xml:space="preserve"> la </w:t>
            </w:r>
            <w:proofErr w:type="spellStart"/>
            <w:r>
              <w:t>Protección</w:t>
            </w:r>
            <w:proofErr w:type="spellEnd"/>
            <w:r>
              <w:t xml:space="preserve"> del Mar – Division for the Protection of the Sea). </w:t>
            </w:r>
            <w:proofErr w:type="spellStart"/>
            <w:r w:rsidRPr="007F3834">
              <w:rPr>
                <w:lang w:val="es-ES"/>
              </w:rPr>
              <w:t>The</w:t>
            </w:r>
            <w:proofErr w:type="spellEnd"/>
            <w:r w:rsidRPr="007F3834">
              <w:rPr>
                <w:lang w:val="es-ES"/>
              </w:rPr>
              <w:t xml:space="preserve"> </w:t>
            </w:r>
            <w:proofErr w:type="spellStart"/>
            <w:r w:rsidRPr="007F3834">
              <w:rPr>
                <w:lang w:val="es-ES"/>
              </w:rPr>
              <w:t>Law</w:t>
            </w:r>
            <w:proofErr w:type="spellEnd"/>
            <w:r w:rsidRPr="007F3834">
              <w:rPr>
                <w:lang w:val="es-ES"/>
              </w:rPr>
              <w:t xml:space="preserve"> </w:t>
            </w:r>
            <w:proofErr w:type="spellStart"/>
            <w:r w:rsidRPr="007F3834">
              <w:rPr>
                <w:lang w:val="es-ES"/>
              </w:rPr>
              <w:t>applicable</w:t>
            </w:r>
            <w:proofErr w:type="spellEnd"/>
            <w:r w:rsidRPr="007F3834">
              <w:rPr>
                <w:lang w:val="es-ES"/>
              </w:rPr>
              <w:t xml:space="preserve"> </w:t>
            </w:r>
            <w:proofErr w:type="spellStart"/>
            <w:r w:rsidRPr="007F3834">
              <w:rPr>
                <w:lang w:val="es-ES"/>
              </w:rPr>
              <w:t>is</w:t>
            </w:r>
            <w:proofErr w:type="spellEnd"/>
            <w:r w:rsidRPr="007F3834">
              <w:rPr>
                <w:lang w:val="es-ES"/>
              </w:rPr>
              <w:t xml:space="preserve"> </w:t>
            </w:r>
            <w:proofErr w:type="spellStart"/>
            <w:r w:rsidRPr="007F3834">
              <w:rPr>
                <w:lang w:val="es-ES"/>
              </w:rPr>
              <w:t>the</w:t>
            </w:r>
            <w:proofErr w:type="spellEnd"/>
            <w:r w:rsidRPr="007F3834">
              <w:rPr>
                <w:lang w:val="es-ES"/>
              </w:rPr>
              <w:t xml:space="preserve"> Ley de Protección del Medio Marino.  </w:t>
            </w:r>
            <w:proofErr w:type="spellStart"/>
            <w:r w:rsidRPr="007F3834">
              <w:rPr>
                <w:lang w:val="es-ES"/>
              </w:rPr>
              <w:t>There</w:t>
            </w:r>
            <w:proofErr w:type="spellEnd"/>
            <w:r w:rsidRPr="007F3834">
              <w:rPr>
                <w:lang w:val="es-ES"/>
              </w:rPr>
              <w:t xml:space="preserve"> </w:t>
            </w:r>
            <w:proofErr w:type="spellStart"/>
            <w:r w:rsidRPr="007F3834">
              <w:rPr>
                <w:lang w:val="es-ES"/>
              </w:rPr>
              <w:t>is</w:t>
            </w:r>
            <w:proofErr w:type="spellEnd"/>
            <w:r w:rsidRPr="007F3834">
              <w:rPr>
                <w:lang w:val="es-ES"/>
              </w:rPr>
              <w:t xml:space="preserve"> a </w:t>
            </w:r>
            <w:proofErr w:type="spellStart"/>
            <w:r w:rsidRPr="007F3834">
              <w:rPr>
                <w:lang w:val="es-ES"/>
              </w:rPr>
              <w:t>national</w:t>
            </w:r>
            <w:proofErr w:type="spellEnd"/>
            <w:r w:rsidRPr="007F3834">
              <w:rPr>
                <w:lang w:val="es-ES"/>
              </w:rPr>
              <w:t xml:space="preserve"> </w:t>
            </w:r>
            <w:proofErr w:type="spellStart"/>
            <w:r w:rsidRPr="007F3834">
              <w:rPr>
                <w:lang w:val="es-ES"/>
              </w:rPr>
              <w:t>system</w:t>
            </w:r>
            <w:proofErr w:type="spellEnd"/>
            <w:r w:rsidRPr="007F3834">
              <w:rPr>
                <w:lang w:val="es-ES"/>
              </w:rPr>
              <w:t xml:space="preserve"> </w:t>
            </w:r>
            <w:proofErr w:type="spellStart"/>
            <w:r w:rsidRPr="007F3834">
              <w:rPr>
                <w:lang w:val="es-ES"/>
              </w:rPr>
              <w:t>for</w:t>
            </w:r>
            <w:proofErr w:type="spellEnd"/>
            <w:r w:rsidRPr="007F3834">
              <w:rPr>
                <w:lang w:val="es-ES"/>
              </w:rPr>
              <w:t xml:space="preserve"> </w:t>
            </w:r>
            <w:proofErr w:type="spellStart"/>
            <w:r w:rsidRPr="007F3834">
              <w:rPr>
                <w:lang w:val="es-ES"/>
              </w:rPr>
              <w:t>the</w:t>
            </w:r>
            <w:proofErr w:type="spellEnd"/>
            <w:r w:rsidRPr="007F3834">
              <w:rPr>
                <w:lang w:val="es-ES"/>
              </w:rPr>
              <w:t xml:space="preserve"> </w:t>
            </w:r>
            <w:proofErr w:type="spellStart"/>
            <w:r w:rsidRPr="007F3834">
              <w:rPr>
                <w:lang w:val="es-ES"/>
              </w:rPr>
              <w:t>protection</w:t>
            </w:r>
            <w:proofErr w:type="spellEnd"/>
            <w:r w:rsidRPr="007F3834">
              <w:rPr>
                <w:lang w:val="es-ES"/>
              </w:rPr>
              <w:t xml:space="preserve"> of </w:t>
            </w:r>
            <w:proofErr w:type="spellStart"/>
            <w:r w:rsidRPr="007F3834">
              <w:rPr>
                <w:lang w:val="es-ES"/>
              </w:rPr>
              <w:t>the</w:t>
            </w:r>
            <w:proofErr w:type="spellEnd"/>
            <w:r w:rsidRPr="007F3834">
              <w:rPr>
                <w:lang w:val="es-ES"/>
              </w:rPr>
              <w:t xml:space="preserve"> sea – Sistema Nacional de Protección de la Ribera del Mar.</w:t>
            </w:r>
          </w:p>
        </w:tc>
        <w:tc>
          <w:tcPr>
            <w:tcW w:w="2354" w:type="pct"/>
          </w:tcPr>
          <w:p w:rsidR="007B2256" w:rsidRDefault="007B2256" w:rsidP="00C11BF8">
            <w:pPr>
              <w:cnfStyle w:val="000000000000" w:firstRow="0" w:lastRow="0" w:firstColumn="0" w:lastColumn="0" w:oddVBand="0" w:evenVBand="0" w:oddHBand="0" w:evenHBand="0" w:firstRowFirstColumn="0" w:firstRowLastColumn="0" w:lastRowFirstColumn="0" w:lastRowLastColumn="0"/>
            </w:pPr>
            <w:r>
              <w:t>We will add that as a source to the review</w:t>
            </w:r>
          </w:p>
        </w:tc>
      </w:tr>
      <w:tr w:rsidR="007B2256" w:rsidTr="007B22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 w:type="pct"/>
          </w:tcPr>
          <w:p w:rsidR="007B2256" w:rsidRPr="002F53F4" w:rsidRDefault="007B2256" w:rsidP="00C11BF8">
            <w:pPr>
              <w:autoSpaceDE w:val="0"/>
              <w:autoSpaceDN w:val="0"/>
              <w:adjustRightInd w:val="0"/>
              <w:rPr>
                <w:b w:val="0"/>
              </w:rPr>
            </w:pPr>
            <w:r w:rsidRPr="002F53F4">
              <w:rPr>
                <w:b w:val="0"/>
              </w:rPr>
              <w:t>24</w:t>
            </w:r>
          </w:p>
        </w:tc>
        <w:tc>
          <w:tcPr>
            <w:tcW w:w="2351" w:type="pct"/>
          </w:tcPr>
          <w:p w:rsidR="007B2256" w:rsidRDefault="007B2256" w:rsidP="00C11BF8">
            <w:pPr>
              <w:autoSpaceDE w:val="0"/>
              <w:autoSpaceDN w:val="0"/>
              <w:adjustRightInd w:val="0"/>
              <w:cnfStyle w:val="000000100000" w:firstRow="0" w:lastRow="0" w:firstColumn="0" w:lastColumn="0" w:oddVBand="0" w:evenVBand="0" w:oddHBand="1" w:evenHBand="0" w:firstRowFirstColumn="0" w:firstRowLastColumn="0" w:lastRowFirstColumn="0" w:lastRowLastColumn="0"/>
            </w:pPr>
            <w:r w:rsidRPr="002F53F4">
              <w:t>Information about marine based Pharmaceutical production in Spain should be included.</w:t>
            </w:r>
          </w:p>
        </w:tc>
        <w:tc>
          <w:tcPr>
            <w:tcW w:w="2354" w:type="pct"/>
          </w:tcPr>
          <w:p w:rsidR="007B2256" w:rsidRDefault="007B2256" w:rsidP="00C11BF8">
            <w:pPr>
              <w:cnfStyle w:val="000000100000" w:firstRow="0" w:lastRow="0" w:firstColumn="0" w:lastColumn="0" w:oddVBand="0" w:evenVBand="0" w:oddHBand="1" w:evenHBand="0" w:firstRowFirstColumn="0" w:firstRowLastColumn="0" w:lastRowFirstColumn="0" w:lastRowLastColumn="0"/>
            </w:pPr>
            <w:r>
              <w:t>Please feel free to hint us to relevant sources</w:t>
            </w:r>
          </w:p>
        </w:tc>
      </w:tr>
      <w:tr w:rsidR="007B2256" w:rsidRPr="002F53F4" w:rsidTr="007B2256">
        <w:tc>
          <w:tcPr>
            <w:cnfStyle w:val="001000000000" w:firstRow="0" w:lastRow="0" w:firstColumn="1" w:lastColumn="0" w:oddVBand="0" w:evenVBand="0" w:oddHBand="0" w:evenHBand="0" w:firstRowFirstColumn="0" w:firstRowLastColumn="0" w:lastRowFirstColumn="0" w:lastRowLastColumn="0"/>
            <w:tcW w:w="295" w:type="pct"/>
          </w:tcPr>
          <w:p w:rsidR="007B2256" w:rsidRPr="002F53F4" w:rsidRDefault="007B2256" w:rsidP="00C11BF8">
            <w:pPr>
              <w:autoSpaceDE w:val="0"/>
              <w:autoSpaceDN w:val="0"/>
              <w:adjustRightInd w:val="0"/>
              <w:rPr>
                <w:b w:val="0"/>
              </w:rPr>
            </w:pPr>
          </w:p>
        </w:tc>
        <w:tc>
          <w:tcPr>
            <w:tcW w:w="2351" w:type="pct"/>
          </w:tcPr>
          <w:p w:rsidR="007B2256" w:rsidRPr="002F53F4" w:rsidRDefault="007B2256" w:rsidP="00C11BF8">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t>Instead of “Marine Army Forces”, the right translation for “Armada” into English is “Navy”.</w:t>
            </w:r>
          </w:p>
        </w:tc>
        <w:tc>
          <w:tcPr>
            <w:tcW w:w="2354" w:type="pct"/>
          </w:tcPr>
          <w:p w:rsidR="007B2256" w:rsidRPr="002F53F4" w:rsidRDefault="007B2256" w:rsidP="00C11BF8">
            <w:pPr>
              <w:cnfStyle w:val="000000000000" w:firstRow="0" w:lastRow="0" w:firstColumn="0" w:lastColumn="0" w:oddVBand="0" w:evenVBand="0" w:oddHBand="0" w:evenHBand="0" w:firstRowFirstColumn="0" w:firstRowLastColumn="0" w:lastRowFirstColumn="0" w:lastRowLastColumn="0"/>
            </w:pPr>
          </w:p>
        </w:tc>
      </w:tr>
      <w:tr w:rsidR="007B2256" w:rsidRPr="002F53F4" w:rsidTr="007B22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 w:type="pct"/>
          </w:tcPr>
          <w:p w:rsidR="007B2256" w:rsidRPr="002F53F4" w:rsidRDefault="007B2256" w:rsidP="00C11BF8">
            <w:pPr>
              <w:autoSpaceDE w:val="0"/>
              <w:autoSpaceDN w:val="0"/>
              <w:adjustRightInd w:val="0"/>
              <w:rPr>
                <w:b w:val="0"/>
              </w:rPr>
            </w:pPr>
            <w:r>
              <w:rPr>
                <w:b w:val="0"/>
              </w:rPr>
              <w:t>25</w:t>
            </w:r>
          </w:p>
        </w:tc>
        <w:tc>
          <w:tcPr>
            <w:tcW w:w="2351" w:type="pct"/>
          </w:tcPr>
          <w:p w:rsidR="007B2256" w:rsidRPr="00C11BF8" w:rsidRDefault="007B2256" w:rsidP="00C11BF8">
            <w:pPr>
              <w:autoSpaceDE w:val="0"/>
              <w:autoSpaceDN w:val="0"/>
              <w:adjustRightInd w:val="0"/>
              <w:cnfStyle w:val="000000100000" w:firstRow="0" w:lastRow="0" w:firstColumn="0" w:lastColumn="0" w:oddVBand="0" w:evenVBand="0" w:oddHBand="1" w:evenHBand="0" w:firstRowFirstColumn="0" w:firstRowLastColumn="0" w:lastRowFirstColumn="0" w:lastRowLastColumn="0"/>
            </w:pPr>
            <w:r w:rsidRPr="00C11BF8">
              <w:t xml:space="preserve">Comments on the “country overview” and economic data - part 0 of the draft of the Study: </w:t>
            </w:r>
          </w:p>
          <w:p w:rsidR="007B2256" w:rsidRDefault="007B2256" w:rsidP="00C11BF8">
            <w:pPr>
              <w:autoSpaceDE w:val="0"/>
              <w:autoSpaceDN w:val="0"/>
              <w:adjustRightInd w:val="0"/>
              <w:cnfStyle w:val="000000100000" w:firstRow="0" w:lastRow="0" w:firstColumn="0" w:lastColumn="0" w:oddVBand="0" w:evenVBand="0" w:oddHBand="1" w:evenHBand="0" w:firstRowFirstColumn="0" w:firstRowLastColumn="0" w:lastRowFirstColumn="0" w:lastRowLastColumn="0"/>
            </w:pPr>
          </w:p>
          <w:p w:rsidR="007B2256" w:rsidRDefault="007B2256" w:rsidP="00C11BF8">
            <w:pPr>
              <w:autoSpaceDE w:val="0"/>
              <w:autoSpaceDN w:val="0"/>
              <w:adjustRightInd w:val="0"/>
              <w:cnfStyle w:val="000000100000" w:firstRow="0" w:lastRow="0" w:firstColumn="0" w:lastColumn="0" w:oddVBand="0" w:evenVBand="0" w:oddHBand="1" w:evenHBand="0" w:firstRowFirstColumn="0" w:firstRowLastColumn="0" w:lastRowFirstColumn="0" w:lastRowLastColumn="0"/>
            </w:pPr>
            <w:proofErr w:type="spellStart"/>
            <w:r>
              <w:t>Parapraph</w:t>
            </w:r>
            <w:proofErr w:type="spellEnd"/>
            <w:r>
              <w:t xml:space="preserve"> 1</w:t>
            </w:r>
          </w:p>
          <w:p w:rsidR="007B2256" w:rsidRDefault="007B2256" w:rsidP="00C11BF8">
            <w:pPr>
              <w:autoSpaceDE w:val="0"/>
              <w:autoSpaceDN w:val="0"/>
              <w:adjustRightInd w:val="0"/>
              <w:cnfStyle w:val="000000100000" w:firstRow="0" w:lastRow="0" w:firstColumn="0" w:lastColumn="0" w:oddVBand="0" w:evenVBand="0" w:oddHBand="1" w:evenHBand="0" w:firstRowFirstColumn="0" w:firstRowLastColumn="0" w:lastRowFirstColumn="0" w:lastRowLastColumn="0"/>
            </w:pPr>
            <w:r>
              <w:t>The necessary fiscal adjustment policies to return to sustainable public finances and the bank system restructuring process to guarantee a sound and solvent economy will post a positive lending capacity  sector, essential to  regain market confidence.</w:t>
            </w:r>
          </w:p>
          <w:p w:rsidR="007B2256" w:rsidRDefault="007B2256" w:rsidP="00C11BF8">
            <w:pPr>
              <w:autoSpaceDE w:val="0"/>
              <w:autoSpaceDN w:val="0"/>
              <w:adjustRightInd w:val="0"/>
              <w:cnfStyle w:val="000000100000" w:firstRow="0" w:lastRow="0" w:firstColumn="0" w:lastColumn="0" w:oddVBand="0" w:evenVBand="0" w:oddHBand="1" w:evenHBand="0" w:firstRowFirstColumn="0" w:firstRowLastColumn="0" w:lastRowFirstColumn="0" w:lastRowLastColumn="0"/>
            </w:pPr>
            <w:r>
              <w:t xml:space="preserve">There is an extraordinary development of the external sector, with a strong performance of exports and current account surplus, thus external demand’s contribution to growth to reach 2.3 p.p. of </w:t>
            </w:r>
            <w:proofErr w:type="spellStart"/>
            <w:r>
              <w:t>gdp</w:t>
            </w:r>
            <w:proofErr w:type="spellEnd"/>
            <w:r>
              <w:t xml:space="preserve"> in 2013; for the first time in 15 years the economy will post a positive lending capacity.</w:t>
            </w:r>
          </w:p>
          <w:p w:rsidR="007B2256" w:rsidRPr="002F53F4" w:rsidRDefault="007B2256" w:rsidP="00C11BF8">
            <w:pPr>
              <w:autoSpaceDE w:val="0"/>
              <w:autoSpaceDN w:val="0"/>
              <w:adjustRightInd w:val="0"/>
              <w:cnfStyle w:val="000000100000" w:firstRow="0" w:lastRow="0" w:firstColumn="0" w:lastColumn="0" w:oddVBand="0" w:evenVBand="0" w:oddHBand="1" w:evenHBand="0" w:firstRowFirstColumn="0" w:firstRowLastColumn="0" w:lastRowFirstColumn="0" w:lastRowLastColumn="0"/>
            </w:pPr>
          </w:p>
        </w:tc>
        <w:tc>
          <w:tcPr>
            <w:tcW w:w="2354" w:type="pct"/>
          </w:tcPr>
          <w:p w:rsidR="007B2256" w:rsidRPr="002F53F4" w:rsidRDefault="007B2256" w:rsidP="00C11BF8">
            <w:pPr>
              <w:cnfStyle w:val="000000100000" w:firstRow="0" w:lastRow="0" w:firstColumn="0" w:lastColumn="0" w:oddVBand="0" w:evenVBand="0" w:oddHBand="1" w:evenHBand="0" w:firstRowFirstColumn="0" w:firstRowLastColumn="0" w:lastRowFirstColumn="0" w:lastRowLastColumn="0"/>
            </w:pPr>
            <w:r>
              <w:lastRenderedPageBreak/>
              <w:t xml:space="preserve">We addressed this in the draft final country papers. The following information does not seem to have a direct implication with the </w:t>
            </w:r>
            <w:r>
              <w:lastRenderedPageBreak/>
              <w:t>object of the study. Comments have been considered but will not be fully integrated in the report.</w:t>
            </w:r>
          </w:p>
        </w:tc>
      </w:tr>
      <w:tr w:rsidR="007B2256" w:rsidRPr="002F53F4" w:rsidTr="007B2256">
        <w:tc>
          <w:tcPr>
            <w:cnfStyle w:val="001000000000" w:firstRow="0" w:lastRow="0" w:firstColumn="1" w:lastColumn="0" w:oddVBand="0" w:evenVBand="0" w:oddHBand="0" w:evenHBand="0" w:firstRowFirstColumn="0" w:firstRowLastColumn="0" w:lastRowFirstColumn="0" w:lastRowLastColumn="0"/>
            <w:tcW w:w="295" w:type="pct"/>
          </w:tcPr>
          <w:p w:rsidR="007B2256" w:rsidRPr="002F53F4" w:rsidRDefault="007B2256" w:rsidP="00C11BF8">
            <w:pPr>
              <w:autoSpaceDE w:val="0"/>
              <w:autoSpaceDN w:val="0"/>
              <w:adjustRightInd w:val="0"/>
              <w:rPr>
                <w:b w:val="0"/>
              </w:rPr>
            </w:pPr>
            <w:r>
              <w:rPr>
                <w:b w:val="0"/>
              </w:rPr>
              <w:lastRenderedPageBreak/>
              <w:t>26</w:t>
            </w:r>
          </w:p>
        </w:tc>
        <w:tc>
          <w:tcPr>
            <w:tcW w:w="2351" w:type="pct"/>
          </w:tcPr>
          <w:p w:rsidR="007B2256" w:rsidRDefault="007B2256" w:rsidP="00C11BF8">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t>Paragraph 2:</w:t>
            </w:r>
          </w:p>
          <w:p w:rsidR="007B2256" w:rsidRPr="002F53F4" w:rsidRDefault="007B2256" w:rsidP="00C11BF8">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t>The last data published by the ministry of employment show a change in the tendency although it is still the biggest problem of the Spanish economy , registering a reduction of unemployment during the last 5 months of 2013.the labour market reform is already bearing  fruits and the  unit labour cost reduction is improving competitiveness</w:t>
            </w:r>
          </w:p>
        </w:tc>
        <w:tc>
          <w:tcPr>
            <w:tcW w:w="2354" w:type="pct"/>
          </w:tcPr>
          <w:p w:rsidR="007B2256" w:rsidRPr="002F53F4" w:rsidRDefault="007B2256" w:rsidP="00C11BF8">
            <w:pPr>
              <w:cnfStyle w:val="000000000000" w:firstRow="0" w:lastRow="0" w:firstColumn="0" w:lastColumn="0" w:oddVBand="0" w:evenVBand="0" w:oddHBand="0" w:evenHBand="0" w:firstRowFirstColumn="0" w:firstRowLastColumn="0" w:lastRowFirstColumn="0" w:lastRowLastColumn="0"/>
            </w:pPr>
            <w:r>
              <w:t>Please feel free to hint us to data (if at hand).</w:t>
            </w:r>
          </w:p>
        </w:tc>
      </w:tr>
      <w:tr w:rsidR="007B2256" w:rsidRPr="002F53F4" w:rsidTr="007B22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 w:type="pct"/>
          </w:tcPr>
          <w:p w:rsidR="007B2256" w:rsidRPr="002F53F4" w:rsidRDefault="007B2256" w:rsidP="00C11BF8">
            <w:pPr>
              <w:autoSpaceDE w:val="0"/>
              <w:autoSpaceDN w:val="0"/>
              <w:adjustRightInd w:val="0"/>
              <w:rPr>
                <w:b w:val="0"/>
              </w:rPr>
            </w:pPr>
            <w:r>
              <w:rPr>
                <w:b w:val="0"/>
              </w:rPr>
              <w:t>27</w:t>
            </w:r>
          </w:p>
        </w:tc>
        <w:tc>
          <w:tcPr>
            <w:tcW w:w="2351" w:type="pct"/>
          </w:tcPr>
          <w:p w:rsidR="007B2256" w:rsidRDefault="007B2256" w:rsidP="00C11BF8">
            <w:pPr>
              <w:autoSpaceDE w:val="0"/>
              <w:autoSpaceDN w:val="0"/>
              <w:adjustRightInd w:val="0"/>
              <w:cnfStyle w:val="000000100000" w:firstRow="0" w:lastRow="0" w:firstColumn="0" w:lastColumn="0" w:oddVBand="0" w:evenVBand="0" w:oddHBand="1" w:evenHBand="0" w:firstRowFirstColumn="0" w:firstRowLastColumn="0" w:lastRowFirstColumn="0" w:lastRowLastColumn="0"/>
            </w:pPr>
            <w:r>
              <w:t>Paragraph 3:</w:t>
            </w:r>
          </w:p>
          <w:p w:rsidR="007B2256" w:rsidRPr="002F53F4" w:rsidRDefault="007B2256" w:rsidP="00C11BF8">
            <w:pPr>
              <w:autoSpaceDE w:val="0"/>
              <w:autoSpaceDN w:val="0"/>
              <w:adjustRightInd w:val="0"/>
              <w:cnfStyle w:val="000000100000" w:firstRow="0" w:lastRow="0" w:firstColumn="0" w:lastColumn="0" w:oddVBand="0" w:evenVBand="0" w:oddHBand="1" w:evenHBand="0" w:firstRowFirstColumn="0" w:firstRowLastColumn="0" w:lastRowFirstColumn="0" w:lastRowLastColumn="0"/>
            </w:pPr>
            <w:r>
              <w:t xml:space="preserve">With respect to public finances, the adjustment of the deficit of the public sector in 2012 has been of 2 p.p. of </w:t>
            </w:r>
            <w:proofErr w:type="spellStart"/>
            <w:r>
              <w:t>gdp</w:t>
            </w:r>
            <w:proofErr w:type="spellEnd"/>
            <w:r>
              <w:t xml:space="preserve">. The restructuring of the financial sector has brought is allowing a healthy reallocation of resources and  more transparent banking sector. The  strong performance of exports (Spain´s level in international trade has fallen only by two tenths of a percentage point from 1,9% to 1,7%, the smallest reduction in the major EU economies and  has recorded a current account surplus. With respect  to the private sector the deleveraging via reduction of gross debt is being actively reduced and  the Government is committed to pursue and reinforce the reform agenda initiated in 2012 despite a challenging outlook for 2013. The Spanish economy is  highly diversified with a </w:t>
            </w:r>
            <w:proofErr w:type="spellStart"/>
            <w:r>
              <w:t>gdp</w:t>
            </w:r>
            <w:proofErr w:type="spellEnd"/>
            <w:r>
              <w:t xml:space="preserve"> structure characteristic of developed countries ( agriculture, 2,63% </w:t>
            </w:r>
            <w:proofErr w:type="spellStart"/>
            <w:r>
              <w:t>gdp</w:t>
            </w:r>
            <w:proofErr w:type="spellEnd"/>
            <w:r>
              <w:t xml:space="preserve">, industry and construction, 28, 14% </w:t>
            </w:r>
            <w:proofErr w:type="spellStart"/>
            <w:r>
              <w:t>gdp</w:t>
            </w:r>
            <w:proofErr w:type="spellEnd"/>
            <w:r>
              <w:t xml:space="preserve"> and services 69,03% </w:t>
            </w:r>
            <w:proofErr w:type="spellStart"/>
            <w:r>
              <w:t>gdp</w:t>
            </w:r>
            <w:proofErr w:type="spellEnd"/>
            <w:r>
              <w:t xml:space="preserve">. Its agricultural sector is highly developed accounting </w:t>
            </w:r>
            <w:proofErr w:type="spellStart"/>
            <w:r>
              <w:t>fot</w:t>
            </w:r>
            <w:proofErr w:type="spellEnd"/>
            <w:r>
              <w:t xml:space="preserve"> 7,77% of </w:t>
            </w:r>
            <w:proofErr w:type="spellStart"/>
            <w:r>
              <w:t>gdp</w:t>
            </w:r>
            <w:proofErr w:type="spellEnd"/>
            <w:r>
              <w:t xml:space="preserve"> and internationally acclaimed for its capacity, development, </w:t>
            </w:r>
            <w:proofErr w:type="spellStart"/>
            <w:r>
              <w:t>r+d+i</w:t>
            </w:r>
            <w:proofErr w:type="spellEnd"/>
            <w:r>
              <w:t xml:space="preserve"> and </w:t>
            </w:r>
            <w:r>
              <w:lastRenderedPageBreak/>
              <w:t>quality with Spanish companies leading world positions in many sectors like olive oil, wine, fruits and vegetables, rice,  pasta.. It has also the largest surface extension of greenhouses in the Mediterranean area and is world leader in technology in this area. But Spain’s industrial sector has experimented a huge development during the last decades,  in which Spanish companies have embarked on a very intense internationalization process and are among the world leaders in high added value and major growth potential sectors  such as infrastructures, electricity sector, renewable energies, high speed railways, biotechnology, environmental technologies and water treatment, financial sector, automotive sector, social economy  as well as world leaders in mature sectors like fashion and of course tourism.</w:t>
            </w:r>
          </w:p>
        </w:tc>
        <w:tc>
          <w:tcPr>
            <w:tcW w:w="2354" w:type="pct"/>
          </w:tcPr>
          <w:p w:rsidR="007B2256" w:rsidRPr="002F53F4" w:rsidRDefault="007B2256" w:rsidP="00C11BF8">
            <w:pPr>
              <w:cnfStyle w:val="000000100000" w:firstRow="0" w:lastRow="0" w:firstColumn="0" w:lastColumn="0" w:oddVBand="0" w:evenVBand="0" w:oddHBand="1" w:evenHBand="0" w:firstRowFirstColumn="0" w:firstRowLastColumn="0" w:lastRowFirstColumn="0" w:lastRowLastColumn="0"/>
            </w:pPr>
            <w:r>
              <w:lastRenderedPageBreak/>
              <w:t>Idem, Please see above.  (see previous comment)</w:t>
            </w:r>
          </w:p>
        </w:tc>
      </w:tr>
    </w:tbl>
    <w:p w:rsidR="007B420F" w:rsidRDefault="007B420F" w:rsidP="007B420F"/>
    <w:p w:rsidR="007B420F" w:rsidRDefault="007B420F"/>
    <w:sectPr w:rsidR="007B420F" w:rsidSect="00C11BF8">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1BF8" w:rsidRDefault="00C11BF8" w:rsidP="00B308DE">
      <w:pPr>
        <w:spacing w:after="0" w:line="240" w:lineRule="auto"/>
      </w:pPr>
      <w:r>
        <w:separator/>
      </w:r>
    </w:p>
  </w:endnote>
  <w:endnote w:type="continuationSeparator" w:id="0">
    <w:p w:rsidR="00C11BF8" w:rsidRDefault="00C11BF8" w:rsidP="00B308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4524810"/>
      <w:docPartObj>
        <w:docPartGallery w:val="Page Numbers (Bottom of Page)"/>
        <w:docPartUnique/>
      </w:docPartObj>
    </w:sdtPr>
    <w:sdtEndPr>
      <w:rPr>
        <w:noProof/>
      </w:rPr>
    </w:sdtEndPr>
    <w:sdtContent>
      <w:p w:rsidR="00C11BF8" w:rsidRDefault="00C11BF8">
        <w:pPr>
          <w:pStyle w:val="Footer"/>
          <w:jc w:val="right"/>
        </w:pPr>
        <w:r>
          <w:fldChar w:fldCharType="begin"/>
        </w:r>
        <w:r>
          <w:instrText xml:space="preserve"> PAGE   \* MERGEFORMAT </w:instrText>
        </w:r>
        <w:r>
          <w:fldChar w:fldCharType="separate"/>
        </w:r>
        <w:r w:rsidR="00D43B68">
          <w:rPr>
            <w:noProof/>
          </w:rPr>
          <w:t>6</w:t>
        </w:r>
        <w:r>
          <w:rPr>
            <w:noProof/>
          </w:rPr>
          <w:fldChar w:fldCharType="end"/>
        </w:r>
      </w:p>
    </w:sdtContent>
  </w:sdt>
  <w:p w:rsidR="00C11BF8" w:rsidRDefault="00C11B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1BF8" w:rsidRDefault="00C11BF8" w:rsidP="00B308DE">
      <w:pPr>
        <w:spacing w:after="0" w:line="240" w:lineRule="auto"/>
      </w:pPr>
      <w:r>
        <w:separator/>
      </w:r>
    </w:p>
  </w:footnote>
  <w:footnote w:type="continuationSeparator" w:id="0">
    <w:p w:rsidR="00C11BF8" w:rsidRDefault="00C11BF8" w:rsidP="00B308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E4D2C"/>
    <w:multiLevelType w:val="hybridMultilevel"/>
    <w:tmpl w:val="288E1470"/>
    <w:lvl w:ilvl="0" w:tplc="5A3C2B58">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
    <w:nsid w:val="0CED1071"/>
    <w:multiLevelType w:val="hybridMultilevel"/>
    <w:tmpl w:val="86F04E3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0D541032"/>
    <w:multiLevelType w:val="hybridMultilevel"/>
    <w:tmpl w:val="A6C45DCC"/>
    <w:lvl w:ilvl="0" w:tplc="45EA727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005370D"/>
    <w:multiLevelType w:val="hybridMultilevel"/>
    <w:tmpl w:val="C6320378"/>
    <w:lvl w:ilvl="0" w:tplc="34446B1E">
      <w:start w:val="3"/>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5D771C2"/>
    <w:multiLevelType w:val="hybridMultilevel"/>
    <w:tmpl w:val="9B383744"/>
    <w:lvl w:ilvl="0" w:tplc="FB60512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B592486"/>
    <w:multiLevelType w:val="hybridMultilevel"/>
    <w:tmpl w:val="76BC6CFC"/>
    <w:lvl w:ilvl="0" w:tplc="C520DC0C">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346C522A"/>
    <w:multiLevelType w:val="hybridMultilevel"/>
    <w:tmpl w:val="5810F1F8"/>
    <w:lvl w:ilvl="0" w:tplc="56AEA8B2">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640617E"/>
    <w:multiLevelType w:val="hybridMultilevel"/>
    <w:tmpl w:val="BE509DF0"/>
    <w:lvl w:ilvl="0" w:tplc="03368F5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A451EBF"/>
    <w:multiLevelType w:val="hybridMultilevel"/>
    <w:tmpl w:val="AE94EF3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85F7732"/>
    <w:multiLevelType w:val="hybridMultilevel"/>
    <w:tmpl w:val="23EEB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B1339A0"/>
    <w:multiLevelType w:val="hybridMultilevel"/>
    <w:tmpl w:val="DC74FDD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5C5029E4"/>
    <w:multiLevelType w:val="hybridMultilevel"/>
    <w:tmpl w:val="FE6ADFD2"/>
    <w:lvl w:ilvl="0" w:tplc="1702F51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3E151D9"/>
    <w:multiLevelType w:val="hybridMultilevel"/>
    <w:tmpl w:val="98F6910C"/>
    <w:lvl w:ilvl="0" w:tplc="BB9247F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A05720B"/>
    <w:multiLevelType w:val="hybridMultilevel"/>
    <w:tmpl w:val="39C0D284"/>
    <w:lvl w:ilvl="0" w:tplc="E4CE748A">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3"/>
  </w:num>
  <w:num w:numId="3">
    <w:abstractNumId w:val="5"/>
  </w:num>
  <w:num w:numId="4">
    <w:abstractNumId w:val="10"/>
  </w:num>
  <w:num w:numId="5">
    <w:abstractNumId w:val="9"/>
  </w:num>
  <w:num w:numId="6">
    <w:abstractNumId w:val="1"/>
  </w:num>
  <w:num w:numId="7">
    <w:abstractNumId w:val="4"/>
  </w:num>
  <w:num w:numId="8">
    <w:abstractNumId w:val="12"/>
  </w:num>
  <w:num w:numId="9">
    <w:abstractNumId w:val="2"/>
  </w:num>
  <w:num w:numId="10">
    <w:abstractNumId w:val="11"/>
  </w:num>
  <w:num w:numId="11">
    <w:abstractNumId w:val="7"/>
  </w:num>
  <w:num w:numId="12">
    <w:abstractNumId w:val="6"/>
  </w:num>
  <w:num w:numId="13">
    <w:abstractNumId w:val="3"/>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725BC"/>
    <w:rsid w:val="000073AA"/>
    <w:rsid w:val="000336DE"/>
    <w:rsid w:val="00051C80"/>
    <w:rsid w:val="00072F3E"/>
    <w:rsid w:val="00074900"/>
    <w:rsid w:val="000A7F70"/>
    <w:rsid w:val="000C0057"/>
    <w:rsid w:val="000E67B0"/>
    <w:rsid w:val="00135F34"/>
    <w:rsid w:val="001652BB"/>
    <w:rsid w:val="001C2C8D"/>
    <w:rsid w:val="001C5402"/>
    <w:rsid w:val="001D6B7B"/>
    <w:rsid w:val="00215704"/>
    <w:rsid w:val="00237D11"/>
    <w:rsid w:val="00252548"/>
    <w:rsid w:val="002563F4"/>
    <w:rsid w:val="002B076E"/>
    <w:rsid w:val="002F53F4"/>
    <w:rsid w:val="003604A3"/>
    <w:rsid w:val="00384413"/>
    <w:rsid w:val="003B490B"/>
    <w:rsid w:val="003B61F2"/>
    <w:rsid w:val="003C2FF4"/>
    <w:rsid w:val="003E5353"/>
    <w:rsid w:val="003E53EC"/>
    <w:rsid w:val="00414355"/>
    <w:rsid w:val="00422FD3"/>
    <w:rsid w:val="004246E0"/>
    <w:rsid w:val="004425D3"/>
    <w:rsid w:val="0045474B"/>
    <w:rsid w:val="00476C43"/>
    <w:rsid w:val="00485A31"/>
    <w:rsid w:val="004B7171"/>
    <w:rsid w:val="004C68B0"/>
    <w:rsid w:val="004E2C27"/>
    <w:rsid w:val="004E3B67"/>
    <w:rsid w:val="00530E06"/>
    <w:rsid w:val="00565D89"/>
    <w:rsid w:val="00594C3F"/>
    <w:rsid w:val="005A02A1"/>
    <w:rsid w:val="005B66E3"/>
    <w:rsid w:val="005C397E"/>
    <w:rsid w:val="005D121B"/>
    <w:rsid w:val="005E7BC9"/>
    <w:rsid w:val="00624E75"/>
    <w:rsid w:val="00644DC8"/>
    <w:rsid w:val="00657188"/>
    <w:rsid w:val="00667CB9"/>
    <w:rsid w:val="006715CF"/>
    <w:rsid w:val="006759B0"/>
    <w:rsid w:val="006760B9"/>
    <w:rsid w:val="006879B2"/>
    <w:rsid w:val="0069158F"/>
    <w:rsid w:val="006A2375"/>
    <w:rsid w:val="006A73E3"/>
    <w:rsid w:val="006D6E02"/>
    <w:rsid w:val="006F22A3"/>
    <w:rsid w:val="006F2ED5"/>
    <w:rsid w:val="006F3501"/>
    <w:rsid w:val="006F6958"/>
    <w:rsid w:val="006F7A79"/>
    <w:rsid w:val="00705DB9"/>
    <w:rsid w:val="0070701C"/>
    <w:rsid w:val="007071D8"/>
    <w:rsid w:val="007344F6"/>
    <w:rsid w:val="00735253"/>
    <w:rsid w:val="00746431"/>
    <w:rsid w:val="007725BC"/>
    <w:rsid w:val="00782C30"/>
    <w:rsid w:val="007B2256"/>
    <w:rsid w:val="007B420F"/>
    <w:rsid w:val="007C70CC"/>
    <w:rsid w:val="007F3834"/>
    <w:rsid w:val="00841374"/>
    <w:rsid w:val="00850056"/>
    <w:rsid w:val="0086787C"/>
    <w:rsid w:val="00884D81"/>
    <w:rsid w:val="0089453B"/>
    <w:rsid w:val="008A6A48"/>
    <w:rsid w:val="008D36E0"/>
    <w:rsid w:val="008D3BDA"/>
    <w:rsid w:val="008E4C93"/>
    <w:rsid w:val="009255C9"/>
    <w:rsid w:val="00927786"/>
    <w:rsid w:val="00927F28"/>
    <w:rsid w:val="0094617D"/>
    <w:rsid w:val="00960EE3"/>
    <w:rsid w:val="00987313"/>
    <w:rsid w:val="009916D5"/>
    <w:rsid w:val="009B7A71"/>
    <w:rsid w:val="009C426A"/>
    <w:rsid w:val="00A1026E"/>
    <w:rsid w:val="00A12040"/>
    <w:rsid w:val="00A378DC"/>
    <w:rsid w:val="00AA2B0F"/>
    <w:rsid w:val="00AB1EF4"/>
    <w:rsid w:val="00AB6F50"/>
    <w:rsid w:val="00AC23F2"/>
    <w:rsid w:val="00B03BC3"/>
    <w:rsid w:val="00B236E3"/>
    <w:rsid w:val="00B308DE"/>
    <w:rsid w:val="00B403C9"/>
    <w:rsid w:val="00B414E0"/>
    <w:rsid w:val="00B43EFB"/>
    <w:rsid w:val="00B574B2"/>
    <w:rsid w:val="00B924B0"/>
    <w:rsid w:val="00BA6C6C"/>
    <w:rsid w:val="00BB072E"/>
    <w:rsid w:val="00BB407A"/>
    <w:rsid w:val="00BC66D7"/>
    <w:rsid w:val="00BE4112"/>
    <w:rsid w:val="00BE4B28"/>
    <w:rsid w:val="00C11BF8"/>
    <w:rsid w:val="00C1512D"/>
    <w:rsid w:val="00C53EBC"/>
    <w:rsid w:val="00C66E1D"/>
    <w:rsid w:val="00C8581F"/>
    <w:rsid w:val="00C86E18"/>
    <w:rsid w:val="00C90A1F"/>
    <w:rsid w:val="00CD562F"/>
    <w:rsid w:val="00D165E3"/>
    <w:rsid w:val="00D21E4E"/>
    <w:rsid w:val="00D2442D"/>
    <w:rsid w:val="00D31967"/>
    <w:rsid w:val="00D43B68"/>
    <w:rsid w:val="00D86AAC"/>
    <w:rsid w:val="00D96D61"/>
    <w:rsid w:val="00DA3DB3"/>
    <w:rsid w:val="00DC1F47"/>
    <w:rsid w:val="00E67002"/>
    <w:rsid w:val="00E8110B"/>
    <w:rsid w:val="00E83C82"/>
    <w:rsid w:val="00EC2508"/>
    <w:rsid w:val="00EC6F7A"/>
    <w:rsid w:val="00ED6B85"/>
    <w:rsid w:val="00EF3FA9"/>
    <w:rsid w:val="00F31189"/>
    <w:rsid w:val="00F3308C"/>
    <w:rsid w:val="00F4211A"/>
    <w:rsid w:val="00F426DE"/>
    <w:rsid w:val="00F44F0F"/>
    <w:rsid w:val="00F4572E"/>
    <w:rsid w:val="00F50059"/>
    <w:rsid w:val="00F503A2"/>
    <w:rsid w:val="00F67459"/>
    <w:rsid w:val="00F76643"/>
    <w:rsid w:val="00FA20EF"/>
    <w:rsid w:val="00FB0420"/>
    <w:rsid w:val="00FD6227"/>
    <w:rsid w:val="00FE03F0"/>
    <w:rsid w:val="00FE06B2"/>
    <w:rsid w:val="00FF32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6E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674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6745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Paragraph">
    <w:name w:val="List Paragraph"/>
    <w:basedOn w:val="Normal"/>
    <w:uiPriority w:val="34"/>
    <w:qFormat/>
    <w:rsid w:val="00FE06B2"/>
    <w:pPr>
      <w:ind w:left="720"/>
      <w:contextualSpacing/>
    </w:pPr>
  </w:style>
  <w:style w:type="character" w:styleId="CommentReference">
    <w:name w:val="annotation reference"/>
    <w:basedOn w:val="DefaultParagraphFont"/>
    <w:uiPriority w:val="99"/>
    <w:semiHidden/>
    <w:unhideWhenUsed/>
    <w:rsid w:val="00F503A2"/>
    <w:rPr>
      <w:sz w:val="16"/>
      <w:szCs w:val="16"/>
    </w:rPr>
  </w:style>
  <w:style w:type="paragraph" w:styleId="CommentText">
    <w:name w:val="annotation text"/>
    <w:basedOn w:val="Normal"/>
    <w:link w:val="CommentTextChar"/>
    <w:uiPriority w:val="99"/>
    <w:unhideWhenUsed/>
    <w:rsid w:val="00F503A2"/>
    <w:pPr>
      <w:spacing w:line="240" w:lineRule="auto"/>
    </w:pPr>
    <w:rPr>
      <w:sz w:val="20"/>
      <w:szCs w:val="20"/>
    </w:rPr>
  </w:style>
  <w:style w:type="character" w:customStyle="1" w:styleId="CommentTextChar">
    <w:name w:val="Comment Text Char"/>
    <w:basedOn w:val="DefaultParagraphFont"/>
    <w:link w:val="CommentText"/>
    <w:uiPriority w:val="99"/>
    <w:rsid w:val="00F503A2"/>
    <w:rPr>
      <w:sz w:val="20"/>
      <w:szCs w:val="20"/>
    </w:rPr>
  </w:style>
  <w:style w:type="paragraph" w:styleId="CommentSubject">
    <w:name w:val="annotation subject"/>
    <w:basedOn w:val="CommentText"/>
    <w:next w:val="CommentText"/>
    <w:link w:val="CommentSubjectChar"/>
    <w:uiPriority w:val="99"/>
    <w:semiHidden/>
    <w:unhideWhenUsed/>
    <w:rsid w:val="00F503A2"/>
    <w:rPr>
      <w:b/>
      <w:bCs/>
    </w:rPr>
  </w:style>
  <w:style w:type="character" w:customStyle="1" w:styleId="CommentSubjectChar">
    <w:name w:val="Comment Subject Char"/>
    <w:basedOn w:val="CommentTextChar"/>
    <w:link w:val="CommentSubject"/>
    <w:uiPriority w:val="99"/>
    <w:semiHidden/>
    <w:rsid w:val="00F503A2"/>
    <w:rPr>
      <w:b/>
      <w:bCs/>
      <w:sz w:val="20"/>
      <w:szCs w:val="20"/>
    </w:rPr>
  </w:style>
  <w:style w:type="paragraph" w:styleId="BalloonText">
    <w:name w:val="Balloon Text"/>
    <w:basedOn w:val="Normal"/>
    <w:link w:val="BalloonTextChar"/>
    <w:uiPriority w:val="99"/>
    <w:semiHidden/>
    <w:unhideWhenUsed/>
    <w:rsid w:val="00F503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03A2"/>
    <w:rPr>
      <w:rFonts w:ascii="Tahoma" w:hAnsi="Tahoma" w:cs="Tahoma"/>
      <w:sz w:val="16"/>
      <w:szCs w:val="16"/>
    </w:rPr>
  </w:style>
  <w:style w:type="character" w:styleId="Hyperlink">
    <w:name w:val="Hyperlink"/>
    <w:basedOn w:val="DefaultParagraphFont"/>
    <w:uiPriority w:val="99"/>
    <w:unhideWhenUsed/>
    <w:rsid w:val="008E4C93"/>
    <w:rPr>
      <w:color w:val="0000FF" w:themeColor="hyperlink"/>
      <w:u w:val="single"/>
    </w:rPr>
  </w:style>
  <w:style w:type="character" w:styleId="FootnoteReference">
    <w:name w:val="footnote reference"/>
    <w:aliases w:val="Footnote Reference Superscript,BVI fnr, BVI fnr,Footnote symbol"/>
    <w:basedOn w:val="DefaultParagraphFont"/>
    <w:uiPriority w:val="99"/>
    <w:unhideWhenUsed/>
    <w:rsid w:val="006F22A3"/>
    <w:rPr>
      <w:vertAlign w:val="superscript"/>
    </w:rPr>
  </w:style>
  <w:style w:type="paragraph" w:styleId="FootnoteText">
    <w:name w:val="footnote text"/>
    <w:aliases w:val="Note de bas de page Car1 Car Car,Note de bas de page1,stile 1,Footnote,Footnote1,Footnote2,Footnote3,Footnote4,Footnote5,Footnote6,Footnote7,Footnote8,Footnote9,Footnote10,Footnote11,Footnote21,Footnote31,Footnote41,Footnote51"/>
    <w:basedOn w:val="Normal"/>
    <w:link w:val="FootnoteTextChar"/>
    <w:uiPriority w:val="99"/>
    <w:unhideWhenUsed/>
    <w:rsid w:val="006F22A3"/>
    <w:pPr>
      <w:spacing w:after="0" w:line="240" w:lineRule="auto"/>
      <w:jc w:val="both"/>
    </w:pPr>
    <w:rPr>
      <w:rFonts w:eastAsiaTheme="minorHAnsi"/>
      <w:sz w:val="20"/>
      <w:szCs w:val="20"/>
      <w:lang w:val="fr-FR" w:eastAsia="en-US"/>
    </w:rPr>
  </w:style>
  <w:style w:type="character" w:customStyle="1" w:styleId="FootnoteTextChar">
    <w:name w:val="Footnote Text Char"/>
    <w:aliases w:val="Note de bas de page Car1 Car Car Char,Note de bas de page1 Char,stile 1 Char,Footnote Char,Footnote1 Char,Footnote2 Char,Footnote3 Char,Footnote4 Char,Footnote5 Char,Footnote6 Char,Footnote7 Char,Footnote8 Char,Footnote9 Char"/>
    <w:basedOn w:val="DefaultParagraphFont"/>
    <w:link w:val="FootnoteText"/>
    <w:uiPriority w:val="99"/>
    <w:rsid w:val="006F22A3"/>
    <w:rPr>
      <w:rFonts w:eastAsiaTheme="minorHAnsi"/>
      <w:sz w:val="20"/>
      <w:szCs w:val="20"/>
      <w:lang w:val="fr-FR" w:eastAsia="en-US"/>
    </w:rPr>
  </w:style>
  <w:style w:type="paragraph" w:styleId="Title">
    <w:name w:val="Title"/>
    <w:basedOn w:val="Normal"/>
    <w:next w:val="Normal"/>
    <w:link w:val="TitleChar"/>
    <w:uiPriority w:val="10"/>
    <w:qFormat/>
    <w:rsid w:val="008D36E0"/>
    <w:pPr>
      <w:pBdr>
        <w:bottom w:val="single" w:sz="8" w:space="4" w:color="4F81BD" w:themeColor="accent1"/>
      </w:pBdr>
      <w:spacing w:after="300" w:line="240" w:lineRule="auto"/>
      <w:contextualSpacing/>
      <w:jc w:val="both"/>
    </w:pPr>
    <w:rPr>
      <w:rFonts w:asciiTheme="majorHAnsi" w:eastAsiaTheme="majorEastAsia" w:hAnsiTheme="majorHAnsi" w:cstheme="majorBidi"/>
      <w:color w:val="17365D" w:themeColor="text2" w:themeShade="BF"/>
      <w:spacing w:val="5"/>
      <w:kern w:val="28"/>
      <w:sz w:val="40"/>
      <w:szCs w:val="52"/>
      <w:lang w:val="fr-FR" w:eastAsia="en-US"/>
    </w:rPr>
  </w:style>
  <w:style w:type="character" w:customStyle="1" w:styleId="TitleChar">
    <w:name w:val="Title Char"/>
    <w:basedOn w:val="DefaultParagraphFont"/>
    <w:link w:val="Title"/>
    <w:uiPriority w:val="10"/>
    <w:rsid w:val="008D36E0"/>
    <w:rPr>
      <w:rFonts w:asciiTheme="majorHAnsi" w:eastAsiaTheme="majorEastAsia" w:hAnsiTheme="majorHAnsi" w:cstheme="majorBidi"/>
      <w:color w:val="17365D" w:themeColor="text2" w:themeShade="BF"/>
      <w:spacing w:val="5"/>
      <w:kern w:val="28"/>
      <w:sz w:val="40"/>
      <w:szCs w:val="52"/>
      <w:lang w:val="fr-FR" w:eastAsia="en-US"/>
    </w:rPr>
  </w:style>
  <w:style w:type="paragraph" w:styleId="Revision">
    <w:name w:val="Revision"/>
    <w:hidden/>
    <w:uiPriority w:val="99"/>
    <w:semiHidden/>
    <w:rsid w:val="008D36E0"/>
    <w:pPr>
      <w:spacing w:after="0" w:line="240" w:lineRule="auto"/>
    </w:pPr>
  </w:style>
  <w:style w:type="character" w:styleId="FollowedHyperlink">
    <w:name w:val="FollowedHyperlink"/>
    <w:basedOn w:val="DefaultParagraphFont"/>
    <w:uiPriority w:val="99"/>
    <w:semiHidden/>
    <w:unhideWhenUsed/>
    <w:rsid w:val="00237D11"/>
    <w:rPr>
      <w:color w:val="800080" w:themeColor="followedHyperlink"/>
      <w:u w:val="single"/>
    </w:rPr>
  </w:style>
  <w:style w:type="paragraph" w:styleId="Header">
    <w:name w:val="header"/>
    <w:basedOn w:val="Normal"/>
    <w:link w:val="HeaderChar"/>
    <w:uiPriority w:val="99"/>
    <w:unhideWhenUsed/>
    <w:rsid w:val="00B308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08DE"/>
  </w:style>
  <w:style w:type="paragraph" w:styleId="Footer">
    <w:name w:val="footer"/>
    <w:basedOn w:val="Normal"/>
    <w:link w:val="FooterChar"/>
    <w:uiPriority w:val="99"/>
    <w:unhideWhenUsed/>
    <w:rsid w:val="00B308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08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674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6745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Paragraph">
    <w:name w:val="List Paragraph"/>
    <w:basedOn w:val="Normal"/>
    <w:uiPriority w:val="34"/>
    <w:qFormat/>
    <w:rsid w:val="00FE06B2"/>
    <w:pPr>
      <w:ind w:left="720"/>
      <w:contextualSpacing/>
    </w:pPr>
  </w:style>
  <w:style w:type="character" w:styleId="CommentReference">
    <w:name w:val="annotation reference"/>
    <w:basedOn w:val="DefaultParagraphFont"/>
    <w:uiPriority w:val="99"/>
    <w:semiHidden/>
    <w:unhideWhenUsed/>
    <w:rsid w:val="00F503A2"/>
    <w:rPr>
      <w:sz w:val="16"/>
      <w:szCs w:val="16"/>
    </w:rPr>
  </w:style>
  <w:style w:type="paragraph" w:styleId="CommentText">
    <w:name w:val="annotation text"/>
    <w:basedOn w:val="Normal"/>
    <w:link w:val="CommentTextChar"/>
    <w:uiPriority w:val="99"/>
    <w:unhideWhenUsed/>
    <w:rsid w:val="00F503A2"/>
    <w:pPr>
      <w:spacing w:line="240" w:lineRule="auto"/>
    </w:pPr>
    <w:rPr>
      <w:sz w:val="20"/>
      <w:szCs w:val="20"/>
    </w:rPr>
  </w:style>
  <w:style w:type="character" w:customStyle="1" w:styleId="CommentTextChar">
    <w:name w:val="Comment Text Char"/>
    <w:basedOn w:val="DefaultParagraphFont"/>
    <w:link w:val="CommentText"/>
    <w:uiPriority w:val="99"/>
    <w:rsid w:val="00F503A2"/>
    <w:rPr>
      <w:sz w:val="20"/>
      <w:szCs w:val="20"/>
    </w:rPr>
  </w:style>
  <w:style w:type="paragraph" w:styleId="CommentSubject">
    <w:name w:val="annotation subject"/>
    <w:basedOn w:val="CommentText"/>
    <w:next w:val="CommentText"/>
    <w:link w:val="CommentSubjectChar"/>
    <w:uiPriority w:val="99"/>
    <w:semiHidden/>
    <w:unhideWhenUsed/>
    <w:rsid w:val="00F503A2"/>
    <w:rPr>
      <w:b/>
      <w:bCs/>
    </w:rPr>
  </w:style>
  <w:style w:type="character" w:customStyle="1" w:styleId="CommentSubjectChar">
    <w:name w:val="Comment Subject Char"/>
    <w:basedOn w:val="CommentTextChar"/>
    <w:link w:val="CommentSubject"/>
    <w:uiPriority w:val="99"/>
    <w:semiHidden/>
    <w:rsid w:val="00F503A2"/>
    <w:rPr>
      <w:b/>
      <w:bCs/>
      <w:sz w:val="20"/>
      <w:szCs w:val="20"/>
    </w:rPr>
  </w:style>
  <w:style w:type="paragraph" w:styleId="BalloonText">
    <w:name w:val="Balloon Text"/>
    <w:basedOn w:val="Normal"/>
    <w:link w:val="BalloonTextChar"/>
    <w:uiPriority w:val="99"/>
    <w:semiHidden/>
    <w:unhideWhenUsed/>
    <w:rsid w:val="00F503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03A2"/>
    <w:rPr>
      <w:rFonts w:ascii="Tahoma" w:hAnsi="Tahoma" w:cs="Tahoma"/>
      <w:sz w:val="16"/>
      <w:szCs w:val="16"/>
    </w:rPr>
  </w:style>
  <w:style w:type="character" w:styleId="Hyperlink">
    <w:name w:val="Hyperlink"/>
    <w:basedOn w:val="DefaultParagraphFont"/>
    <w:uiPriority w:val="99"/>
    <w:unhideWhenUsed/>
    <w:rsid w:val="008E4C93"/>
    <w:rPr>
      <w:color w:val="0000FF" w:themeColor="hyperlink"/>
      <w:u w:val="single"/>
    </w:rPr>
  </w:style>
  <w:style w:type="character" w:styleId="FootnoteReference">
    <w:name w:val="footnote reference"/>
    <w:aliases w:val="Footnote Reference Superscript,BVI fnr, BVI fnr,Footnote symbol"/>
    <w:basedOn w:val="DefaultParagraphFont"/>
    <w:uiPriority w:val="99"/>
    <w:unhideWhenUsed/>
    <w:rsid w:val="006F22A3"/>
    <w:rPr>
      <w:vertAlign w:val="superscript"/>
    </w:rPr>
  </w:style>
  <w:style w:type="paragraph" w:styleId="FootnoteText">
    <w:name w:val="footnote text"/>
    <w:aliases w:val="Note de bas de page Car1 Car Car,Note de bas de page1,stile 1,Footnote,Footnote1,Footnote2,Footnote3,Footnote4,Footnote5,Footnote6,Footnote7,Footnote8,Footnote9,Footnote10,Footnote11,Footnote21,Footnote31,Footnote41,Footnote51"/>
    <w:basedOn w:val="Normal"/>
    <w:link w:val="FootnoteTextChar"/>
    <w:uiPriority w:val="99"/>
    <w:unhideWhenUsed/>
    <w:rsid w:val="006F22A3"/>
    <w:pPr>
      <w:spacing w:after="0" w:line="240" w:lineRule="auto"/>
      <w:jc w:val="both"/>
    </w:pPr>
    <w:rPr>
      <w:rFonts w:eastAsiaTheme="minorHAnsi"/>
      <w:sz w:val="20"/>
      <w:szCs w:val="20"/>
      <w:lang w:val="fr-FR" w:eastAsia="en-US"/>
    </w:rPr>
  </w:style>
  <w:style w:type="character" w:customStyle="1" w:styleId="FootnoteTextChar">
    <w:name w:val="Footnote Text Char"/>
    <w:aliases w:val="Note de bas de page Car1 Car Car Char,Note de bas de page1 Char,stile 1 Char,Footnote Char,Footnote1 Char,Footnote2 Char,Footnote3 Char,Footnote4 Char,Footnote5 Char,Footnote6 Char,Footnote7 Char,Footnote8 Char,Footnote9 Char"/>
    <w:basedOn w:val="DefaultParagraphFont"/>
    <w:link w:val="FootnoteText"/>
    <w:uiPriority w:val="99"/>
    <w:rsid w:val="006F22A3"/>
    <w:rPr>
      <w:rFonts w:eastAsiaTheme="minorHAnsi"/>
      <w:sz w:val="20"/>
      <w:szCs w:val="20"/>
      <w:lang w:val="fr-FR" w:eastAsia="en-US"/>
    </w:rPr>
  </w:style>
  <w:style w:type="paragraph" w:styleId="Title">
    <w:name w:val="Title"/>
    <w:basedOn w:val="Normal"/>
    <w:next w:val="Normal"/>
    <w:link w:val="TitleChar"/>
    <w:uiPriority w:val="10"/>
    <w:qFormat/>
    <w:rsid w:val="008D36E0"/>
    <w:pPr>
      <w:pBdr>
        <w:bottom w:val="single" w:sz="8" w:space="4" w:color="4F81BD" w:themeColor="accent1"/>
      </w:pBdr>
      <w:spacing w:after="300" w:line="240" w:lineRule="auto"/>
      <w:contextualSpacing/>
      <w:jc w:val="both"/>
    </w:pPr>
    <w:rPr>
      <w:rFonts w:asciiTheme="majorHAnsi" w:eastAsiaTheme="majorEastAsia" w:hAnsiTheme="majorHAnsi" w:cstheme="majorBidi"/>
      <w:color w:val="17365D" w:themeColor="text2" w:themeShade="BF"/>
      <w:spacing w:val="5"/>
      <w:kern w:val="28"/>
      <w:sz w:val="40"/>
      <w:szCs w:val="52"/>
      <w:lang w:val="fr-FR" w:eastAsia="en-US"/>
    </w:rPr>
  </w:style>
  <w:style w:type="character" w:customStyle="1" w:styleId="TitleChar">
    <w:name w:val="Title Char"/>
    <w:basedOn w:val="DefaultParagraphFont"/>
    <w:link w:val="Title"/>
    <w:uiPriority w:val="10"/>
    <w:rsid w:val="008D36E0"/>
    <w:rPr>
      <w:rFonts w:asciiTheme="majorHAnsi" w:eastAsiaTheme="majorEastAsia" w:hAnsiTheme="majorHAnsi" w:cstheme="majorBidi"/>
      <w:color w:val="17365D" w:themeColor="text2" w:themeShade="BF"/>
      <w:spacing w:val="5"/>
      <w:kern w:val="28"/>
      <w:sz w:val="40"/>
      <w:szCs w:val="52"/>
      <w:lang w:val="fr-FR" w:eastAsia="en-US"/>
    </w:rPr>
  </w:style>
  <w:style w:type="paragraph" w:styleId="Revision">
    <w:name w:val="Revision"/>
    <w:hidden/>
    <w:uiPriority w:val="99"/>
    <w:semiHidden/>
    <w:rsid w:val="008D36E0"/>
    <w:pPr>
      <w:spacing w:after="0" w:line="240" w:lineRule="auto"/>
    </w:pPr>
  </w:style>
  <w:style w:type="character" w:styleId="FollowedHyperlink">
    <w:name w:val="FollowedHyperlink"/>
    <w:basedOn w:val="DefaultParagraphFont"/>
    <w:uiPriority w:val="99"/>
    <w:semiHidden/>
    <w:unhideWhenUsed/>
    <w:rsid w:val="00237D11"/>
    <w:rPr>
      <w:color w:val="800080" w:themeColor="followedHyperlink"/>
      <w:u w:val="single"/>
    </w:rPr>
  </w:style>
  <w:style w:type="paragraph" w:styleId="Header">
    <w:name w:val="header"/>
    <w:basedOn w:val="Normal"/>
    <w:link w:val="HeaderChar"/>
    <w:uiPriority w:val="99"/>
    <w:unhideWhenUsed/>
    <w:rsid w:val="00B308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08DE"/>
  </w:style>
  <w:style w:type="paragraph" w:styleId="Footer">
    <w:name w:val="footer"/>
    <w:basedOn w:val="Normal"/>
    <w:link w:val="FooterChar"/>
    <w:uiPriority w:val="99"/>
    <w:unhideWhenUsed/>
    <w:rsid w:val="00B308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08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tepa.org/index.php/documentos/documentosptepa" TargetMode="External"/><Relationship Id="rId5" Type="http://schemas.openxmlformats.org/officeDocument/2006/relationships/settings" Target="settings.xml"/><Relationship Id="rId10" Type="http://schemas.openxmlformats.org/officeDocument/2006/relationships/hyperlink" Target="mailto:martin.wegele@be.ecorys.comn" TargetMode="External"/><Relationship Id="rId4" Type="http://schemas.microsoft.com/office/2007/relationships/stylesWithEffects" Target="stylesWithEffects.xml"/><Relationship Id="rId9" Type="http://schemas.openxmlformats.org/officeDocument/2006/relationships/hyperlink" Target="http://www.dw.de/spain-pumps-wave-power-onto-european-grid/a-16714308"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A3F178-69F6-4DF8-A27B-B19FB12CE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6</Pages>
  <Words>1852</Words>
  <Characters>10557</Characters>
  <Application>Microsoft Office Word</Application>
  <DocSecurity>0</DocSecurity>
  <Lines>87</Lines>
  <Paragraphs>24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Ecorys UK</Company>
  <LinksUpToDate>false</LinksUpToDate>
  <CharactersWithSpaces>12385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Robin</dc:creator>
  <cp:lastModifiedBy>Martin Wegele</cp:lastModifiedBy>
  <cp:revision>12</cp:revision>
  <cp:lastPrinted>2013-09-20T13:05:00Z</cp:lastPrinted>
  <dcterms:created xsi:type="dcterms:W3CDTF">2013-10-04T11:29:00Z</dcterms:created>
  <dcterms:modified xsi:type="dcterms:W3CDTF">2013-10-18T16:48:00Z</dcterms:modified>
</cp:coreProperties>
</file>