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F3A" w:rsidRPr="00452CBB" w:rsidRDefault="00CA6F3A" w:rsidP="00452CBB">
      <w:pPr>
        <w:jc w:val="center"/>
        <w:rPr>
          <w:b/>
          <w:sz w:val="28"/>
          <w:szCs w:val="28"/>
          <w:lang w:val="en-US" w:bidi="sa-IN"/>
        </w:rPr>
      </w:pPr>
      <w:r w:rsidRPr="00452CBB">
        <w:rPr>
          <w:b/>
          <w:sz w:val="28"/>
          <w:szCs w:val="28"/>
          <w:lang w:val="en-US" w:bidi="sa-IN"/>
        </w:rPr>
        <w:t>Advisory Committee for Fisheries and Aquaculture</w:t>
      </w:r>
      <w:r>
        <w:rPr>
          <w:b/>
          <w:sz w:val="28"/>
          <w:szCs w:val="28"/>
          <w:lang w:val="en-US" w:bidi="sa-IN"/>
        </w:rPr>
        <w:t xml:space="preserve"> (ACFA)</w:t>
      </w:r>
    </w:p>
    <w:p w:rsidR="00CA6F3A" w:rsidRPr="00C46C4A" w:rsidRDefault="00CA6F3A" w:rsidP="00840B74">
      <w:pPr>
        <w:spacing w:line="280" w:lineRule="auto"/>
        <w:rPr>
          <w:lang w:val="en-US" w:bidi="sa-IN"/>
        </w:rPr>
      </w:pPr>
      <w:r w:rsidRPr="00225868">
        <w:rPr>
          <w:rFonts w:cs="Times New Roman"/>
          <w:lang w:val="en-GB" w:bidi="sa-IN"/>
        </w:rPr>
        <w:t>EP(10)</w:t>
      </w:r>
      <w:r>
        <w:rPr>
          <w:rFonts w:cs="Times New Roman"/>
          <w:lang w:val="en-GB" w:bidi="sa-IN"/>
        </w:rPr>
        <w:t>95</w:t>
      </w:r>
      <w:r w:rsidRPr="00225868">
        <w:rPr>
          <w:rFonts w:cs="Times New Roman"/>
          <w:lang w:val="en-GB" w:bidi="sa-IN"/>
        </w:rPr>
        <w:t>/SP(10)</w:t>
      </w:r>
      <w:r>
        <w:rPr>
          <w:rFonts w:cs="Times New Roman"/>
          <w:lang w:val="en-GB" w:bidi="sa-IN"/>
        </w:rPr>
        <w:t>4526 REV.3</w:t>
      </w:r>
      <w:r w:rsidRPr="00C46C4A">
        <w:rPr>
          <w:lang w:val="en-US" w:bidi="sa-IN"/>
        </w:rPr>
        <w:tab/>
      </w:r>
      <w:r w:rsidRPr="00C46C4A">
        <w:rPr>
          <w:lang w:val="en-US" w:bidi="sa-IN"/>
        </w:rPr>
        <w:tab/>
      </w:r>
      <w:r w:rsidRPr="00C46C4A">
        <w:rPr>
          <w:lang w:val="en-US" w:bidi="sa-IN"/>
        </w:rPr>
        <w:tab/>
      </w:r>
      <w:r w:rsidRPr="00C46C4A">
        <w:rPr>
          <w:lang w:val="en-US" w:bidi="sa-IN"/>
        </w:rPr>
        <w:tab/>
      </w:r>
      <w:r w:rsidRPr="00C46C4A">
        <w:rPr>
          <w:lang w:val="en-US" w:bidi="sa-IN"/>
        </w:rPr>
        <w:tab/>
      </w:r>
      <w:r w:rsidRPr="00C46C4A">
        <w:rPr>
          <w:lang w:val="en-US" w:bidi="sa-IN"/>
        </w:rPr>
        <w:tab/>
      </w:r>
      <w:smartTag w:uri="urn:schemas-microsoft-com:office:smarttags" w:element="City">
        <w:smartTag w:uri="urn:schemas-microsoft-com:office:smarttags" w:element="place">
          <w:r w:rsidRPr="00225868">
            <w:rPr>
              <w:rFonts w:cs="Times New Roman"/>
              <w:lang w:val="en-GB" w:bidi="sa-IN"/>
            </w:rPr>
            <w:t>Brussels</w:t>
          </w:r>
        </w:smartTag>
      </w:smartTag>
      <w:r w:rsidRPr="00225868">
        <w:rPr>
          <w:rFonts w:cs="Times New Roman"/>
          <w:lang w:val="en-GB" w:bidi="sa-IN"/>
        </w:rPr>
        <w:t>,</w:t>
      </w:r>
      <w:r>
        <w:rPr>
          <w:rFonts w:cs="Times New Roman"/>
          <w:lang w:val="en-GB" w:bidi="sa-IN"/>
        </w:rPr>
        <w:t xml:space="preserve"> 1 July</w:t>
      </w:r>
      <w:r w:rsidRPr="00225868">
        <w:rPr>
          <w:rFonts w:cs="Times New Roman"/>
          <w:lang w:val="en-GB" w:bidi="sa-IN"/>
        </w:rPr>
        <w:t xml:space="preserve"> 2010</w:t>
      </w:r>
      <w:r w:rsidRPr="00C46C4A">
        <w:rPr>
          <w:lang w:val="en-US" w:bidi="sa-IN"/>
        </w:rPr>
        <w:t xml:space="preserve"> </w:t>
      </w:r>
    </w:p>
    <w:p w:rsidR="00CA6F3A" w:rsidRPr="00AC58DF" w:rsidRDefault="00CA6F3A" w:rsidP="00D538EE">
      <w:pPr>
        <w:spacing w:line="280" w:lineRule="auto"/>
        <w:jc w:val="center"/>
        <w:rPr>
          <w:rFonts w:cs="Times New Roman"/>
          <w:b/>
          <w:bCs/>
          <w:sz w:val="28"/>
          <w:szCs w:val="28"/>
          <w:lang w:val="en-GB" w:bidi="sa-IN"/>
        </w:rPr>
      </w:pPr>
      <w:r w:rsidRPr="00AC58DF">
        <w:rPr>
          <w:rFonts w:cs="Times New Roman"/>
          <w:b/>
          <w:sz w:val="28"/>
          <w:szCs w:val="28"/>
          <w:lang w:val="en-GB" w:bidi="sa-IN"/>
        </w:rPr>
        <w:t xml:space="preserve">ACFA opinion on the definition and the treatment to grant small-scale fisheries in the context of the CFP reform </w:t>
      </w:r>
      <w:r w:rsidRPr="00AC58DF">
        <w:rPr>
          <w:rStyle w:val="FootnoteReference"/>
          <w:b/>
          <w:bCs/>
          <w:sz w:val="28"/>
          <w:szCs w:val="28"/>
          <w:lang w:val="en-GB" w:bidi="sa-IN"/>
        </w:rPr>
        <w:footnoteReference w:id="2"/>
      </w:r>
    </w:p>
    <w:p w:rsidR="00CA6F3A" w:rsidRPr="005B49B8" w:rsidRDefault="00CA6F3A" w:rsidP="00D14AE9">
      <w:pPr>
        <w:spacing w:line="280" w:lineRule="auto"/>
        <w:jc w:val="center"/>
        <w:rPr>
          <w:rFonts w:cs="Times New Roman"/>
          <w:b/>
          <w:bCs/>
          <w:sz w:val="20"/>
          <w:szCs w:val="20"/>
          <w:lang w:val="en-GB" w:bidi="sa-IN"/>
        </w:rPr>
      </w:pPr>
    </w:p>
    <w:p w:rsidR="00CA6F3A" w:rsidRPr="00C46C4A" w:rsidRDefault="00CA6F3A" w:rsidP="00840B74">
      <w:pPr>
        <w:pStyle w:val="Paragraphedeliste1"/>
        <w:numPr>
          <w:ilvl w:val="0"/>
          <w:numId w:val="2"/>
        </w:numPr>
        <w:spacing w:line="280" w:lineRule="auto"/>
        <w:ind w:left="720"/>
        <w:jc w:val="both"/>
        <w:rPr>
          <w:b/>
          <w:bCs/>
          <w:lang w:val="en-US" w:bidi="sa-IN"/>
        </w:rPr>
      </w:pPr>
      <w:r>
        <w:rPr>
          <w:rFonts w:cs="Times New Roman"/>
          <w:b/>
          <w:bCs/>
          <w:lang w:val="en-GB" w:bidi="sa-IN"/>
        </w:rPr>
        <w:t>Commission’s comments</w:t>
      </w:r>
      <w:r w:rsidRPr="00225868">
        <w:rPr>
          <w:rFonts w:cs="Times New Roman"/>
          <w:b/>
          <w:bCs/>
          <w:lang w:val="en-GB" w:bidi="sa-IN"/>
        </w:rPr>
        <w:t xml:space="preserve"> in the context of </w:t>
      </w:r>
      <w:r>
        <w:rPr>
          <w:rFonts w:cs="Times New Roman"/>
          <w:b/>
          <w:bCs/>
          <w:lang w:val="en-GB" w:bidi="sa-IN"/>
        </w:rPr>
        <w:t>its</w:t>
      </w:r>
      <w:r w:rsidRPr="00225868">
        <w:rPr>
          <w:rFonts w:cs="Times New Roman"/>
          <w:b/>
          <w:bCs/>
          <w:lang w:val="en-GB" w:bidi="sa-IN"/>
        </w:rPr>
        <w:t xml:space="preserve"> Green Paper </w:t>
      </w:r>
      <w:r>
        <w:rPr>
          <w:rFonts w:cs="Times New Roman"/>
          <w:b/>
          <w:bCs/>
          <w:lang w:val="en-GB" w:bidi="sa-IN"/>
        </w:rPr>
        <w:t>on the reform of the CFP</w:t>
      </w:r>
    </w:p>
    <w:p w:rsidR="00CA6F3A" w:rsidRPr="00C46C4A" w:rsidRDefault="00CA6F3A" w:rsidP="00840B74">
      <w:pPr>
        <w:pStyle w:val="Paragraphedeliste1"/>
        <w:spacing w:line="280" w:lineRule="auto"/>
        <w:ind w:left="708"/>
        <w:jc w:val="both"/>
        <w:rPr>
          <w:lang w:val="en-US" w:bidi="sa-IN"/>
        </w:rPr>
      </w:pPr>
      <w:r w:rsidRPr="00225868">
        <w:rPr>
          <w:rFonts w:cs="Times New Roman"/>
          <w:lang w:val="en-GB" w:bidi="sa-IN"/>
        </w:rPr>
        <w:t>In its Green Paper on reform of the CFP, the Commission considers the “</w:t>
      </w:r>
      <w:r w:rsidRPr="00225868">
        <w:rPr>
          <w:rFonts w:cs="Times New Roman"/>
          <w:b/>
          <w:bCs/>
          <w:lang w:val="en-GB" w:bidi="sa-IN"/>
        </w:rPr>
        <w:t>possibil</w:t>
      </w:r>
      <w:r>
        <w:rPr>
          <w:rFonts w:cs="Times New Roman"/>
          <w:b/>
          <w:bCs/>
          <w:lang w:val="en-GB" w:bidi="sa-IN"/>
        </w:rPr>
        <w:t>ity of a differentiated regime t</w:t>
      </w:r>
      <w:r w:rsidRPr="00225868">
        <w:rPr>
          <w:rFonts w:cs="Times New Roman"/>
          <w:b/>
          <w:bCs/>
          <w:lang w:val="en-GB" w:bidi="sa-IN"/>
        </w:rPr>
        <w:t>o protect</w:t>
      </w:r>
      <w:r>
        <w:rPr>
          <w:rFonts w:cs="Times New Roman"/>
          <w:b/>
          <w:bCs/>
          <w:lang w:val="en-GB" w:bidi="sa-IN"/>
        </w:rPr>
        <w:t xml:space="preserve"> </w:t>
      </w:r>
      <w:r w:rsidRPr="00225868">
        <w:rPr>
          <w:rFonts w:cs="Times New Roman"/>
          <w:b/>
          <w:bCs/>
          <w:lang w:val="en-GB" w:bidi="sa-IN"/>
        </w:rPr>
        <w:t>small-scale coastal fleets</w:t>
      </w:r>
      <w:r w:rsidRPr="00225868">
        <w:rPr>
          <w:rFonts w:cs="Times New Roman"/>
          <w:lang w:val="en-GB" w:bidi="sa-IN"/>
        </w:rPr>
        <w:t>” (Chapter 5.1).</w:t>
      </w:r>
      <w:r w:rsidRPr="00C46C4A">
        <w:rPr>
          <w:lang w:val="en-US" w:bidi="sa-IN"/>
        </w:rPr>
        <w:t xml:space="preserve"> </w:t>
      </w:r>
      <w:r w:rsidRPr="00225868">
        <w:rPr>
          <w:rFonts w:cs="Times New Roman"/>
          <w:shd w:val="clear" w:color="auto" w:fill="FFFFFF"/>
          <w:lang w:val="en-GB" w:bidi="sa-IN"/>
        </w:rPr>
        <w:t>To this end, a system of differentiated management, “</w:t>
      </w:r>
      <w:r w:rsidRPr="00225868">
        <w:rPr>
          <w:rFonts w:cs="Times New Roman"/>
          <w:b/>
          <w:bCs/>
          <w:shd w:val="clear" w:color="auto" w:fill="FFFFFF"/>
          <w:lang w:val="en-GB" w:bidi="sa-IN"/>
        </w:rPr>
        <w:t>with a focus on social objectives</w:t>
      </w:r>
      <w:r w:rsidRPr="00225868">
        <w:rPr>
          <w:rFonts w:cs="Times New Roman"/>
          <w:shd w:val="clear" w:color="auto" w:fill="FFFFFF"/>
          <w:lang w:val="en-GB" w:bidi="sa-IN"/>
        </w:rPr>
        <w:t xml:space="preserve">”, could be attributed to this fleet segment, as well as a </w:t>
      </w:r>
      <w:r>
        <w:rPr>
          <w:rFonts w:cs="Times New Roman"/>
          <w:shd w:val="clear" w:color="auto" w:fill="FFFFFF"/>
          <w:lang w:val="en-GB" w:bidi="sa-IN"/>
        </w:rPr>
        <w:t>“</w:t>
      </w:r>
      <w:r w:rsidRPr="00C452E1">
        <w:rPr>
          <w:rFonts w:cs="Times New Roman"/>
          <w:b/>
          <w:shd w:val="clear" w:color="auto" w:fill="FFFFFF"/>
          <w:lang w:val="en-GB" w:bidi="sa-IN"/>
        </w:rPr>
        <w:t xml:space="preserve">system of </w:t>
      </w:r>
      <w:r w:rsidRPr="00225868">
        <w:rPr>
          <w:rFonts w:cs="Times New Roman"/>
          <w:b/>
          <w:bCs/>
          <w:lang w:val="en-GB" w:bidi="sa-IN"/>
        </w:rPr>
        <w:t>direct allocation of quotas or effort or through collective schemes</w:t>
      </w:r>
      <w:r w:rsidRPr="00225868">
        <w:rPr>
          <w:rFonts w:cs="Times New Roman"/>
          <w:lang w:val="en-GB" w:bidi="sa-IN"/>
        </w:rPr>
        <w:t xml:space="preserve">”. </w:t>
      </w:r>
      <w:r w:rsidRPr="00225868">
        <w:rPr>
          <w:rFonts w:cs="Times New Roman"/>
          <w:shd w:val="clear" w:color="auto" w:fill="FFFFFF"/>
          <w:lang w:val="en-GB" w:bidi="sa-IN"/>
        </w:rPr>
        <w:t xml:space="preserve"> </w:t>
      </w:r>
      <w:r w:rsidRPr="00225868">
        <w:rPr>
          <w:rFonts w:cs="Times New Roman"/>
          <w:lang w:val="en-GB" w:bidi="sa-IN"/>
        </w:rPr>
        <w:t>With regard to public funding, this fleet segment could benefit from “</w:t>
      </w:r>
      <w:r w:rsidRPr="00225868">
        <w:rPr>
          <w:rFonts w:cs="Times New Roman"/>
          <w:b/>
          <w:bCs/>
          <w:lang w:val="en-GB" w:bidi="sa-IN"/>
        </w:rPr>
        <w:t>public funding …</w:t>
      </w:r>
      <w:r>
        <w:rPr>
          <w:rFonts w:cs="Times New Roman"/>
          <w:b/>
          <w:bCs/>
          <w:lang w:val="en-GB" w:bidi="sa-IN"/>
        </w:rPr>
        <w:t xml:space="preserve"> </w:t>
      </w:r>
      <w:r w:rsidRPr="00225868">
        <w:rPr>
          <w:rFonts w:cs="Times New Roman"/>
          <w:b/>
          <w:bCs/>
          <w:lang w:val="en-GB" w:bidi="sa-IN"/>
        </w:rPr>
        <w:t>[to] help [it] adapt to changing conditions in the wake of the CFP reform</w:t>
      </w:r>
      <w:r w:rsidRPr="00225868">
        <w:rPr>
          <w:rFonts w:cs="Times New Roman"/>
          <w:lang w:val="en-GB" w:bidi="sa-IN"/>
        </w:rPr>
        <w:t>.”</w:t>
      </w:r>
      <w:r>
        <w:rPr>
          <w:rStyle w:val="FootnoteReference"/>
          <w:lang w:val="en-GB" w:bidi="sa-IN"/>
        </w:rPr>
        <w:footnoteReference w:id="3"/>
      </w:r>
    </w:p>
    <w:p w:rsidR="00CA6F3A" w:rsidRDefault="00CA6F3A" w:rsidP="00D14AE9">
      <w:pPr>
        <w:pStyle w:val="Paragraphedeliste1"/>
        <w:spacing w:line="280" w:lineRule="auto"/>
        <w:ind w:left="708"/>
        <w:jc w:val="both"/>
        <w:rPr>
          <w:rFonts w:cs="Times New Roman"/>
          <w:lang w:val="en-GB" w:bidi="sa-IN"/>
        </w:rPr>
      </w:pPr>
      <w:r w:rsidRPr="00225868">
        <w:rPr>
          <w:rFonts w:cs="Times New Roman"/>
          <w:lang w:val="en-GB" w:bidi="sa-IN"/>
        </w:rPr>
        <w:t>It is not the Commission’s intention to grant a differentiated regime in terms of conservation or control rules, as the general principles and standards need to apply across the entire EU.</w:t>
      </w:r>
      <w:r w:rsidRPr="00C46C4A">
        <w:rPr>
          <w:lang w:val="en-US" w:bidi="sa-IN"/>
        </w:rPr>
        <w:t xml:space="preserve"> </w:t>
      </w:r>
      <w:r w:rsidRPr="00225868">
        <w:rPr>
          <w:rFonts w:cs="Times New Roman"/>
          <w:lang w:val="en-GB" w:bidi="sa-IN"/>
        </w:rPr>
        <w:t>The specific decisions regarding these fleets need, nonetheless, to be taken as closely as possible to the coastal communities concerned.</w:t>
      </w:r>
    </w:p>
    <w:p w:rsidR="00CA6F3A" w:rsidRPr="00C46C4A" w:rsidRDefault="00CA6F3A" w:rsidP="00840B74">
      <w:pPr>
        <w:pStyle w:val="Paragraphedeliste1"/>
        <w:numPr>
          <w:ilvl w:val="0"/>
          <w:numId w:val="2"/>
        </w:numPr>
        <w:spacing w:line="280" w:lineRule="auto"/>
        <w:ind w:left="720"/>
        <w:jc w:val="both"/>
        <w:rPr>
          <w:b/>
          <w:bCs/>
          <w:lang w:val="en-US" w:bidi="sa-IN"/>
        </w:rPr>
      </w:pPr>
      <w:r w:rsidRPr="00225868">
        <w:rPr>
          <w:rFonts w:cs="Times New Roman"/>
          <w:b/>
          <w:bCs/>
          <w:lang w:val="en-GB" w:bidi="sa-IN"/>
        </w:rPr>
        <w:t>Comments contained in the ACFA opinion</w:t>
      </w:r>
      <w:r>
        <w:rPr>
          <w:rFonts w:cs="Times New Roman"/>
          <w:b/>
          <w:bCs/>
          <w:lang w:val="en-GB" w:bidi="sa-IN"/>
        </w:rPr>
        <w:t xml:space="preserve"> on the Green paper</w:t>
      </w:r>
    </w:p>
    <w:p w:rsidR="00CA6F3A" w:rsidRPr="00C46C4A" w:rsidRDefault="00CA6F3A" w:rsidP="00840B74">
      <w:pPr>
        <w:pStyle w:val="Paragraphedeliste1"/>
        <w:spacing w:line="280" w:lineRule="auto"/>
        <w:ind w:left="708"/>
        <w:jc w:val="both"/>
        <w:rPr>
          <w:lang w:val="en-US" w:bidi="sa-IN"/>
        </w:rPr>
      </w:pPr>
      <w:r w:rsidRPr="00225868">
        <w:rPr>
          <w:rFonts w:cs="Times New Roman"/>
          <w:lang w:val="en-GB" w:bidi="sa-IN"/>
        </w:rPr>
        <w:t xml:space="preserve">In its opinion of December 2009 on the Green Paper, </w:t>
      </w:r>
      <w:r w:rsidRPr="00590B55">
        <w:rPr>
          <w:rFonts w:cs="Times New Roman"/>
          <w:bCs/>
          <w:lang w:val="en-GB" w:bidi="sa-IN"/>
        </w:rPr>
        <w:t>ACFA</w:t>
      </w:r>
      <w:r w:rsidRPr="00225868">
        <w:rPr>
          <w:rFonts w:cs="Times New Roman"/>
          <w:lang w:val="en-GB" w:bidi="sa-IN"/>
        </w:rPr>
        <w:t xml:space="preserve"> stated in particular that even before deciding on whether it was opportune to have a differentiated regime for small-scale coastal fleets, it was necessary to agree on a precise and realistic definition of the concepts of industrial (or </w:t>
      </w:r>
      <w:r>
        <w:rPr>
          <w:rFonts w:cs="Times New Roman"/>
          <w:lang w:val="en-GB" w:bidi="sa-IN"/>
        </w:rPr>
        <w:t>deep-sea</w:t>
      </w:r>
      <w:r w:rsidRPr="00225868">
        <w:rPr>
          <w:rFonts w:cs="Times New Roman"/>
          <w:lang w:val="en-GB" w:bidi="sa-IN"/>
        </w:rPr>
        <w:t xml:space="preserve">) fleets and small-scale (or artisanal) fleets, as these can vary </w:t>
      </w:r>
      <w:r>
        <w:rPr>
          <w:rFonts w:cs="Times New Roman"/>
          <w:lang w:val="en-GB" w:bidi="sa-IN"/>
        </w:rPr>
        <w:t>from region to</w:t>
      </w:r>
      <w:r w:rsidRPr="00225868">
        <w:rPr>
          <w:rFonts w:cs="Times New Roman"/>
          <w:lang w:val="en-GB" w:bidi="sa-IN"/>
        </w:rPr>
        <w:t xml:space="preserve"> region, by their socio-economic and environmental characteristics and by existing traditions in Europe (chapter II B 1).</w:t>
      </w:r>
      <w:r w:rsidRPr="00C46C4A">
        <w:rPr>
          <w:lang w:val="en-US" w:bidi="sa-IN"/>
        </w:rPr>
        <w:t xml:space="preserve"> </w:t>
      </w:r>
    </w:p>
    <w:p w:rsidR="00CA6F3A" w:rsidRPr="00C46C4A" w:rsidRDefault="00CA6F3A" w:rsidP="00D14AE9">
      <w:pPr>
        <w:pStyle w:val="Paragraphedeliste1"/>
        <w:spacing w:line="280" w:lineRule="auto"/>
        <w:ind w:left="708"/>
        <w:jc w:val="both"/>
        <w:rPr>
          <w:lang w:val="en-US" w:bidi="sa-IN"/>
        </w:rPr>
      </w:pPr>
      <w:r w:rsidRPr="00225868">
        <w:rPr>
          <w:rFonts w:cs="Times New Roman"/>
          <w:lang w:val="en-GB" w:bidi="sa-IN"/>
        </w:rPr>
        <w:t>It was also in favour of maintaining the 12 sea miles zone as a form of protection of vessels involved in small-scale coastal fish</w:t>
      </w:r>
      <w:r>
        <w:rPr>
          <w:rFonts w:cs="Times New Roman"/>
          <w:lang w:val="en-GB" w:bidi="sa-IN"/>
        </w:rPr>
        <w:t>eries</w:t>
      </w:r>
      <w:r w:rsidRPr="00225868">
        <w:rPr>
          <w:rFonts w:cs="Times New Roman"/>
          <w:lang w:val="en-GB" w:bidi="sa-IN"/>
        </w:rPr>
        <w:t>, the definition of which remained subjective at this stage (chapter II B 3)</w:t>
      </w:r>
    </w:p>
    <w:p w:rsidR="00CA6F3A" w:rsidRPr="00C46C4A" w:rsidRDefault="00CA6F3A" w:rsidP="00840B74">
      <w:pPr>
        <w:pStyle w:val="Paragraphedeliste1"/>
        <w:numPr>
          <w:ilvl w:val="0"/>
          <w:numId w:val="2"/>
        </w:numPr>
        <w:spacing w:line="280" w:lineRule="auto"/>
        <w:ind w:left="720"/>
        <w:jc w:val="both"/>
        <w:rPr>
          <w:b/>
          <w:bCs/>
          <w:lang w:val="en-US" w:bidi="sa-IN"/>
        </w:rPr>
      </w:pPr>
      <w:r w:rsidRPr="00225868">
        <w:rPr>
          <w:rFonts w:cs="Times New Roman"/>
          <w:b/>
          <w:bCs/>
          <w:lang w:val="en-GB" w:bidi="sa-IN"/>
        </w:rPr>
        <w:t>Definitio</w:t>
      </w:r>
      <w:r>
        <w:rPr>
          <w:rFonts w:cs="Times New Roman"/>
          <w:b/>
          <w:bCs/>
          <w:lang w:val="en-GB" w:bidi="sa-IN"/>
        </w:rPr>
        <w:t>n of small-scale fisheries</w:t>
      </w:r>
    </w:p>
    <w:p w:rsidR="00CA6F3A" w:rsidRPr="00EF4697" w:rsidRDefault="00CA6F3A" w:rsidP="00D538EE">
      <w:pPr>
        <w:spacing w:line="280" w:lineRule="auto"/>
        <w:ind w:left="708"/>
        <w:jc w:val="both"/>
        <w:rPr>
          <w:lang w:val="en-GB" w:bidi="sa-IN"/>
        </w:rPr>
      </w:pPr>
      <w:r w:rsidRPr="00225868">
        <w:rPr>
          <w:rFonts w:cs="Times New Roman"/>
          <w:lang w:val="en-GB" w:bidi="sa-IN"/>
        </w:rPr>
        <w:t>Currently, there is no clear definition, at European level, of what small-scale</w:t>
      </w:r>
      <w:r>
        <w:rPr>
          <w:rFonts w:cs="Times New Roman"/>
          <w:lang w:val="en-GB" w:bidi="sa-IN"/>
        </w:rPr>
        <w:t xml:space="preserve"> fisheries is</w:t>
      </w:r>
      <w:r w:rsidRPr="00225868">
        <w:rPr>
          <w:rFonts w:cs="Times New Roman"/>
          <w:lang w:val="en-GB" w:bidi="sa-IN"/>
        </w:rPr>
        <w:t>.</w:t>
      </w:r>
      <w:r w:rsidRPr="00C46C4A">
        <w:rPr>
          <w:lang w:val="en-US" w:bidi="sa-IN"/>
        </w:rPr>
        <w:t xml:space="preserve"> </w:t>
      </w:r>
      <w:r w:rsidRPr="00225868">
        <w:rPr>
          <w:rFonts w:cs="Times New Roman"/>
          <w:lang w:val="en-GB" w:bidi="sa-IN"/>
        </w:rPr>
        <w:t xml:space="preserve">The only element of definition that refers to this activity is found in Article 26 of the EFF Regulation which defines </w:t>
      </w:r>
      <w:r w:rsidRPr="00225868">
        <w:rPr>
          <w:rFonts w:cs="Times New Roman"/>
          <w:b/>
          <w:bCs/>
          <w:i/>
          <w:iCs/>
          <w:lang w:val="en-GB" w:bidi="sa-IN"/>
        </w:rPr>
        <w:t>small-scale coastal fish</w:t>
      </w:r>
      <w:r>
        <w:rPr>
          <w:rFonts w:cs="Times New Roman"/>
          <w:b/>
          <w:bCs/>
          <w:i/>
          <w:iCs/>
          <w:lang w:val="en-GB" w:bidi="sa-IN"/>
        </w:rPr>
        <w:t>ing</w:t>
      </w:r>
      <w:r w:rsidRPr="00225868">
        <w:rPr>
          <w:rFonts w:cs="Times New Roman"/>
          <w:lang w:val="en-GB" w:bidi="sa-IN"/>
        </w:rPr>
        <w:t xml:space="preserve"> as “fishing </w:t>
      </w:r>
      <w:r>
        <w:rPr>
          <w:rFonts w:cs="Times New Roman"/>
          <w:lang w:val="en-GB" w:bidi="sa-IN"/>
        </w:rPr>
        <w:t xml:space="preserve">carried out </w:t>
      </w:r>
      <w:r w:rsidRPr="00225868">
        <w:rPr>
          <w:rFonts w:cs="Times New Roman"/>
          <w:lang w:val="en-GB" w:bidi="sa-IN"/>
        </w:rPr>
        <w:t xml:space="preserve">by </w:t>
      </w:r>
      <w:r>
        <w:rPr>
          <w:rFonts w:cs="Times New Roman"/>
          <w:lang w:val="en-GB" w:bidi="sa-IN"/>
        </w:rPr>
        <w:t xml:space="preserve">fishing </w:t>
      </w:r>
      <w:r w:rsidRPr="00225868">
        <w:rPr>
          <w:rFonts w:cs="Times New Roman"/>
          <w:lang w:val="en-GB" w:bidi="sa-IN"/>
        </w:rPr>
        <w:t xml:space="preserve">vessels </w:t>
      </w:r>
      <w:r>
        <w:rPr>
          <w:rFonts w:cs="Times New Roman"/>
          <w:lang w:val="en-GB" w:bidi="sa-IN"/>
        </w:rPr>
        <w:t>of</w:t>
      </w:r>
      <w:r w:rsidRPr="00225868">
        <w:rPr>
          <w:rFonts w:cs="Times New Roman"/>
          <w:lang w:val="en-GB" w:bidi="sa-IN"/>
        </w:rPr>
        <w:t xml:space="preserve"> an overall length of less than </w:t>
      </w:r>
      <w:r>
        <w:rPr>
          <w:rFonts w:cs="Times New Roman"/>
          <w:lang w:val="en-GB" w:bidi="sa-IN"/>
        </w:rPr>
        <w:t>12</w:t>
      </w:r>
      <w:r w:rsidRPr="00225868">
        <w:rPr>
          <w:rFonts w:cs="Times New Roman"/>
          <w:lang w:val="en-GB" w:bidi="sa-IN"/>
        </w:rPr>
        <w:t xml:space="preserve"> metres and </w:t>
      </w:r>
      <w:r>
        <w:rPr>
          <w:rFonts w:cs="Times New Roman"/>
          <w:lang w:val="en-GB" w:bidi="sa-IN"/>
        </w:rPr>
        <w:t>not using</w:t>
      </w:r>
      <w:r w:rsidRPr="00225868">
        <w:rPr>
          <w:rFonts w:cs="Times New Roman"/>
          <w:lang w:val="en-GB" w:bidi="sa-IN"/>
        </w:rPr>
        <w:t xml:space="preserve"> towed gear </w:t>
      </w:r>
      <w:r>
        <w:rPr>
          <w:rFonts w:cs="Times New Roman"/>
          <w:lang w:val="en-GB" w:bidi="sa-IN"/>
        </w:rPr>
        <w:t xml:space="preserve">as </w:t>
      </w:r>
      <w:r w:rsidRPr="00225868">
        <w:rPr>
          <w:rFonts w:cs="Times New Roman"/>
          <w:lang w:val="en-GB" w:bidi="sa-IN"/>
        </w:rPr>
        <w:t xml:space="preserve">listed in </w:t>
      </w:r>
      <w:r>
        <w:rPr>
          <w:rFonts w:cs="Times New Roman"/>
          <w:lang w:val="en-GB" w:bidi="sa-IN"/>
        </w:rPr>
        <w:t xml:space="preserve">Table 3 of </w:t>
      </w:r>
      <w:r w:rsidRPr="00225868">
        <w:rPr>
          <w:rFonts w:cs="Times New Roman"/>
          <w:lang w:val="en-GB" w:bidi="sa-IN"/>
        </w:rPr>
        <w:t xml:space="preserve">Annex I of </w:t>
      </w:r>
      <w:r w:rsidRPr="00EF4697">
        <w:rPr>
          <w:rFonts w:cs="Times New Roman"/>
          <w:lang w:val="en-GB" w:bidi="sa-IN"/>
        </w:rPr>
        <w:t xml:space="preserve">Commission Regulation (EC) No 26/2004 of 30 December 2003 regarding the fishing fleet register of the Community”. For </w:t>
      </w:r>
      <w:r w:rsidRPr="00EF4697">
        <w:rPr>
          <w:rFonts w:cs="Times New Roman"/>
          <w:bCs/>
          <w:lang w:val="en-GB" w:bidi="sa-IN"/>
        </w:rPr>
        <w:t>ACFA</w:t>
      </w:r>
      <w:r w:rsidRPr="00EF4697">
        <w:rPr>
          <w:rFonts w:cs="Times New Roman"/>
          <w:lang w:val="en-GB" w:bidi="sa-IN"/>
        </w:rPr>
        <w:t>, such physical parameters are inappropriate, too simplistic and poorly adapted to regional situations.</w:t>
      </w:r>
      <w:r w:rsidRPr="00EF4697">
        <w:rPr>
          <w:lang w:val="en-GB" w:bidi="sa-IN"/>
        </w:rPr>
        <w:t xml:space="preserve"> It </w:t>
      </w:r>
      <w:r>
        <w:rPr>
          <w:lang w:val="en-GB" w:bidi="sa-IN"/>
        </w:rPr>
        <w:t>will</w:t>
      </w:r>
      <w:r w:rsidRPr="00EF4697">
        <w:rPr>
          <w:lang w:val="en-GB" w:bidi="sa-IN"/>
        </w:rPr>
        <w:t xml:space="preserve"> identify other definition criteria for the existing production systems, in the frame of its work programme.</w:t>
      </w:r>
    </w:p>
    <w:p w:rsidR="00CA6F3A" w:rsidRPr="00EF4697" w:rsidRDefault="00CA6F3A" w:rsidP="00840B74">
      <w:pPr>
        <w:pStyle w:val="Paragraphedeliste1"/>
        <w:spacing w:line="280" w:lineRule="auto"/>
        <w:ind w:left="0"/>
        <w:jc w:val="both"/>
        <w:rPr>
          <w:b/>
          <w:bCs/>
          <w:lang w:val="en-GB" w:bidi="sa-IN"/>
        </w:rPr>
      </w:pPr>
      <w:r w:rsidRPr="00EF4697">
        <w:rPr>
          <w:rFonts w:ascii="Bell MT" w:hAnsi="Bell MT" w:cs="Times New Roman"/>
          <w:b/>
          <w:lang w:val="en-GB" w:bidi="sa-IN"/>
        </w:rPr>
        <w:t>IV</w:t>
      </w:r>
      <w:r w:rsidRPr="00EF4697">
        <w:rPr>
          <w:rFonts w:cs="Times New Roman"/>
          <w:b/>
          <w:lang w:val="en-GB" w:bidi="sa-IN"/>
        </w:rPr>
        <w:t>)</w:t>
      </w:r>
      <w:r w:rsidRPr="00EF4697">
        <w:rPr>
          <w:b/>
          <w:lang w:val="en-GB" w:bidi="sa-IN"/>
        </w:rPr>
        <w:tab/>
      </w:r>
      <w:r w:rsidRPr="00EF4697">
        <w:rPr>
          <w:rFonts w:cs="Times New Roman"/>
          <w:b/>
          <w:bCs/>
          <w:lang w:val="en-GB" w:bidi="sa-IN"/>
        </w:rPr>
        <w:t>Conclusions</w:t>
      </w:r>
    </w:p>
    <w:p w:rsidR="00CA6F3A" w:rsidRDefault="00CA6F3A" w:rsidP="00840B74">
      <w:pPr>
        <w:pStyle w:val="Paragraphedeliste1"/>
        <w:spacing w:line="280" w:lineRule="auto"/>
        <w:ind w:left="708"/>
        <w:jc w:val="both"/>
        <w:rPr>
          <w:rFonts w:cs="Times New Roman"/>
          <w:lang w:val="en-GB" w:bidi="sa-IN"/>
        </w:rPr>
      </w:pPr>
      <w:r>
        <w:rPr>
          <w:rFonts w:cs="Times New Roman"/>
          <w:lang w:val="en-GB" w:bidi="sa-IN"/>
        </w:rPr>
        <w:t>G</w:t>
      </w:r>
      <w:r w:rsidRPr="00225868">
        <w:rPr>
          <w:rFonts w:cs="Times New Roman"/>
          <w:lang w:val="en-GB" w:bidi="sa-IN"/>
        </w:rPr>
        <w:t>iven the discussions currently under way</w:t>
      </w:r>
      <w:r>
        <w:rPr>
          <w:rFonts w:cs="Times New Roman"/>
          <w:lang w:val="en-GB" w:bidi="sa-IN"/>
        </w:rPr>
        <w:t xml:space="preserve"> regarding the definition and a possible differentiated regime applicable to small-scale coastal fisheries, ACFA is of the opinion that the top-down approach at European level is a rather theoretical concept, remote from the realities of fishing operations, fishing patterns and day to day fisheries management. Therefore, </w:t>
      </w:r>
      <w:r w:rsidRPr="00225868">
        <w:rPr>
          <w:rFonts w:cs="Times New Roman"/>
          <w:lang w:val="en-GB" w:bidi="sa-IN"/>
        </w:rPr>
        <w:t xml:space="preserve">the Commission </w:t>
      </w:r>
      <w:r>
        <w:rPr>
          <w:rFonts w:cs="Times New Roman"/>
          <w:lang w:val="en-GB" w:bidi="sa-IN"/>
        </w:rPr>
        <w:t>should</w:t>
      </w:r>
      <w:r w:rsidRPr="00225868">
        <w:rPr>
          <w:rFonts w:cs="Times New Roman"/>
          <w:lang w:val="en-GB" w:bidi="sa-IN"/>
        </w:rPr>
        <w:t xml:space="preserve"> </w:t>
      </w:r>
      <w:r>
        <w:rPr>
          <w:rFonts w:cs="Times New Roman"/>
          <w:lang w:val="en-GB" w:bidi="sa-IN"/>
        </w:rPr>
        <w:t>at most,</w:t>
      </w:r>
      <w:r w:rsidRPr="00225868">
        <w:rPr>
          <w:rFonts w:cs="Times New Roman"/>
          <w:lang w:val="en-GB" w:bidi="sa-IN"/>
        </w:rPr>
        <w:t xml:space="preserve"> move</w:t>
      </w:r>
      <w:r>
        <w:rPr>
          <w:rFonts w:cs="Times New Roman"/>
          <w:lang w:val="en-GB" w:bidi="sa-IN"/>
        </w:rPr>
        <w:t xml:space="preserve"> towards</w:t>
      </w:r>
      <w:r w:rsidRPr="00225868">
        <w:rPr>
          <w:rFonts w:cs="Times New Roman"/>
          <w:lang w:val="en-GB" w:bidi="sa-IN"/>
        </w:rPr>
        <w:t xml:space="preserve"> </w:t>
      </w:r>
      <w:r>
        <w:rPr>
          <w:rFonts w:cs="Times New Roman"/>
          <w:lang w:val="en-GB" w:bidi="sa-IN"/>
        </w:rPr>
        <w:t>the elaboration of guidelines</w:t>
      </w:r>
      <w:r w:rsidRPr="00225868">
        <w:rPr>
          <w:rFonts w:cs="Times New Roman"/>
          <w:lang w:val="en-GB" w:bidi="sa-IN"/>
        </w:rPr>
        <w:t xml:space="preserve"> </w:t>
      </w:r>
      <w:r>
        <w:rPr>
          <w:rFonts w:cs="Times New Roman"/>
          <w:lang w:val="en-GB" w:bidi="sa-IN"/>
        </w:rPr>
        <w:t>regarding</w:t>
      </w:r>
      <w:r w:rsidRPr="00225868">
        <w:rPr>
          <w:rFonts w:cs="Times New Roman"/>
          <w:lang w:val="en-GB" w:bidi="sa-IN"/>
        </w:rPr>
        <w:t xml:space="preserve"> small-scale coastal fish</w:t>
      </w:r>
      <w:r>
        <w:rPr>
          <w:rFonts w:cs="Times New Roman"/>
          <w:lang w:val="en-GB" w:bidi="sa-IN"/>
        </w:rPr>
        <w:t xml:space="preserve">eries at Community </w:t>
      </w:r>
      <w:r w:rsidRPr="00225868">
        <w:rPr>
          <w:rFonts w:cs="Times New Roman"/>
          <w:lang w:val="en-GB" w:bidi="sa-IN"/>
        </w:rPr>
        <w:t xml:space="preserve">level, </w:t>
      </w:r>
      <w:r>
        <w:rPr>
          <w:rFonts w:cs="Times New Roman"/>
          <w:lang w:val="en-GB" w:bidi="sa-IN"/>
        </w:rPr>
        <w:t xml:space="preserve">which should be based on simple, flexible and easy to verify criteria, taking into account the regional characteristics. </w:t>
      </w:r>
    </w:p>
    <w:p w:rsidR="00CA6F3A" w:rsidRPr="00C46C4A" w:rsidRDefault="00CA6F3A" w:rsidP="00840B74">
      <w:pPr>
        <w:pStyle w:val="Paragraphedeliste1"/>
        <w:spacing w:line="280" w:lineRule="auto"/>
        <w:ind w:left="708"/>
        <w:jc w:val="both"/>
        <w:rPr>
          <w:lang w:val="en-US" w:bidi="sa-IN"/>
        </w:rPr>
      </w:pPr>
      <w:r>
        <w:rPr>
          <w:rFonts w:cs="Times New Roman"/>
          <w:lang w:val="en-GB" w:bidi="sa-IN"/>
        </w:rPr>
        <w:t>Such guidelines should be in contrast with that of</w:t>
      </w:r>
      <w:r w:rsidRPr="00225868">
        <w:rPr>
          <w:rFonts w:cs="Times New Roman"/>
          <w:lang w:val="en-GB" w:bidi="sa-IN"/>
        </w:rPr>
        <w:t xml:space="preserve"> industrial and semi-industrial </w:t>
      </w:r>
      <w:r>
        <w:rPr>
          <w:rFonts w:cs="Times New Roman"/>
          <w:lang w:val="en-GB" w:bidi="sa-IN"/>
        </w:rPr>
        <w:t>production systems</w:t>
      </w:r>
      <w:r w:rsidRPr="00225868">
        <w:rPr>
          <w:rFonts w:cs="Times New Roman"/>
          <w:lang w:val="en-GB" w:bidi="sa-IN"/>
        </w:rPr>
        <w:t>, with a view to issuing regulations based on the general principles and standards of the future CFP, which need to be applicable across the entire EU.</w:t>
      </w:r>
      <w:r w:rsidRPr="00C46C4A">
        <w:rPr>
          <w:lang w:val="en-US" w:bidi="sa-IN"/>
        </w:rPr>
        <w:t xml:space="preserve"> </w:t>
      </w:r>
      <w:r w:rsidRPr="00225868">
        <w:rPr>
          <w:rFonts w:cs="Times New Roman"/>
          <w:lang w:val="en-GB" w:bidi="sa-IN"/>
        </w:rPr>
        <w:t xml:space="preserve">In this logic, it would be up to the national authorities and the </w:t>
      </w:r>
      <w:r>
        <w:rPr>
          <w:rFonts w:cs="Times New Roman"/>
          <w:lang w:val="en-GB" w:bidi="sa-IN"/>
        </w:rPr>
        <w:t>regional bodies, possibly resulting from the reform of the CFP,</w:t>
      </w:r>
      <w:r w:rsidRPr="00225868">
        <w:rPr>
          <w:rFonts w:cs="Times New Roman"/>
          <w:lang w:val="en-GB" w:bidi="sa-IN"/>
        </w:rPr>
        <w:t xml:space="preserve"> to exploit more detailed criteria of d</w:t>
      </w:r>
      <w:r>
        <w:rPr>
          <w:rFonts w:cs="Times New Roman"/>
          <w:lang w:val="en-GB" w:bidi="sa-IN"/>
        </w:rPr>
        <w:t>efinition for regulating fisheries</w:t>
      </w:r>
      <w:r w:rsidRPr="00225868">
        <w:rPr>
          <w:rFonts w:cs="Times New Roman"/>
          <w:lang w:val="en-GB" w:bidi="sa-IN"/>
        </w:rPr>
        <w:t xml:space="preserve"> activities, </w:t>
      </w:r>
      <w:r>
        <w:rPr>
          <w:rFonts w:cs="Times New Roman"/>
          <w:lang w:val="en-GB" w:bidi="sa-IN"/>
        </w:rPr>
        <w:t xml:space="preserve">taking into account the regional </w:t>
      </w:r>
      <w:r w:rsidRPr="00225868">
        <w:rPr>
          <w:rFonts w:cs="Times New Roman"/>
          <w:lang w:val="en-GB" w:bidi="sa-IN"/>
        </w:rPr>
        <w:t>specificities.</w:t>
      </w:r>
      <w:r w:rsidRPr="00C46C4A">
        <w:rPr>
          <w:lang w:val="en-US" w:bidi="sa-IN"/>
        </w:rPr>
        <w:t xml:space="preserve"> </w:t>
      </w:r>
    </w:p>
    <w:p w:rsidR="00CA6F3A" w:rsidRDefault="00CA6F3A" w:rsidP="00840B74">
      <w:pPr>
        <w:pStyle w:val="Paragraphedeliste1"/>
        <w:spacing w:line="280" w:lineRule="auto"/>
        <w:ind w:left="708"/>
        <w:jc w:val="both"/>
        <w:rPr>
          <w:rFonts w:cs="Times New Roman"/>
          <w:lang w:val="en-GB" w:bidi="sa-IN"/>
        </w:rPr>
      </w:pPr>
      <w:r>
        <w:rPr>
          <w:rFonts w:cs="Times New Roman"/>
          <w:lang w:val="en-GB" w:bidi="sa-IN"/>
        </w:rPr>
        <w:t>There are good reasons to develop a local/regional management system and specific solutions for small-scale coastal fisheries, but these cannot be successfully applied at EU level through a blanket top-down, one size fits all approach.</w:t>
      </w:r>
    </w:p>
    <w:p w:rsidR="00CA6F3A" w:rsidRDefault="00CA6F3A" w:rsidP="00840B74">
      <w:pPr>
        <w:pStyle w:val="Paragraphedeliste1"/>
        <w:spacing w:line="280" w:lineRule="auto"/>
        <w:ind w:left="708"/>
        <w:jc w:val="both"/>
        <w:rPr>
          <w:rFonts w:cs="Times New Roman"/>
          <w:lang w:val="en-GB" w:bidi="sa-IN"/>
        </w:rPr>
      </w:pPr>
      <w:r>
        <w:rPr>
          <w:rFonts w:cs="Times New Roman"/>
          <w:lang w:val="en-GB" w:bidi="sa-IN"/>
        </w:rPr>
        <w:t>In its opinion on the green paper, ACFA indicated that “decentralisation on technical aspects represents a potentially useful way of depoliticizing decisions which ought to be taken at regional or local level” (chapter II A 3).</w:t>
      </w:r>
    </w:p>
    <w:p w:rsidR="00CA6F3A" w:rsidRPr="00840B74" w:rsidRDefault="00CA6F3A" w:rsidP="00A43021">
      <w:pPr>
        <w:jc w:val="center"/>
        <w:rPr>
          <w:lang w:val="en-GB"/>
        </w:rPr>
      </w:pPr>
      <w:r>
        <w:rPr>
          <w:lang w:val="en-GB"/>
        </w:rPr>
        <w:t>________________</w:t>
      </w:r>
    </w:p>
    <w:sectPr w:rsidR="00CA6F3A" w:rsidRPr="00840B74" w:rsidSect="00725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F3A" w:rsidRDefault="00CA6F3A" w:rsidP="00840B74">
      <w:pPr>
        <w:spacing w:after="0" w:line="240" w:lineRule="auto"/>
      </w:pPr>
      <w:r>
        <w:separator/>
      </w:r>
    </w:p>
  </w:endnote>
  <w:endnote w:type="continuationSeparator" w:id="1">
    <w:p w:rsidR="00CA6F3A" w:rsidRDefault="00CA6F3A" w:rsidP="00840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F3A" w:rsidRDefault="00CA6F3A" w:rsidP="00840B74">
      <w:pPr>
        <w:spacing w:after="0" w:line="240" w:lineRule="auto"/>
      </w:pPr>
      <w:r>
        <w:separator/>
      </w:r>
    </w:p>
  </w:footnote>
  <w:footnote w:type="continuationSeparator" w:id="1">
    <w:p w:rsidR="00CA6F3A" w:rsidRDefault="00CA6F3A" w:rsidP="00840B74">
      <w:pPr>
        <w:spacing w:after="0" w:line="240" w:lineRule="auto"/>
      </w:pPr>
      <w:r>
        <w:continuationSeparator/>
      </w:r>
    </w:p>
  </w:footnote>
  <w:footnote w:id="2">
    <w:p w:rsidR="00CA6F3A" w:rsidRPr="00466425" w:rsidRDefault="00CA6F3A" w:rsidP="00466425">
      <w:pPr>
        <w:rPr>
          <w:rFonts w:ascii="Times New Roman" w:hAnsi="Times New Roman" w:cs="Times New Roman"/>
          <w:sz w:val="24"/>
          <w:szCs w:val="24"/>
          <w:lang w:val="en-GB" w:eastAsia="en-GB"/>
        </w:rPr>
      </w:pPr>
      <w:r>
        <w:rPr>
          <w:rStyle w:val="FootnoteReference"/>
          <w:rFonts w:cs="Calibri"/>
        </w:rPr>
        <w:footnoteRef/>
      </w:r>
      <w:r>
        <w:rPr>
          <w:lang w:val="en-US"/>
        </w:rPr>
        <w:t xml:space="preserve"> </w:t>
      </w:r>
      <w:r w:rsidRPr="00466425">
        <w:rPr>
          <w:lang w:val="en-US"/>
        </w:rPr>
        <w:t xml:space="preserve">- </w:t>
      </w:r>
      <w:r w:rsidRPr="00466425">
        <w:rPr>
          <w:rFonts w:cs="Arial"/>
          <w:sz w:val="20"/>
          <w:szCs w:val="20"/>
          <w:lang w:val="en-GB" w:eastAsia="en-GB"/>
        </w:rPr>
        <w:t>The Development NGOS do not support this resolution on procedural grounds as well as content, particularly as it deleted any reference to the existing marginalisation and vulnerability of the small</w:t>
      </w:r>
      <w:r>
        <w:rPr>
          <w:rFonts w:cs="Arial"/>
          <w:sz w:val="20"/>
          <w:szCs w:val="20"/>
          <w:lang w:val="en-GB" w:eastAsia="en-GB"/>
        </w:rPr>
        <w:t>-</w:t>
      </w:r>
      <w:r w:rsidRPr="00466425">
        <w:rPr>
          <w:rFonts w:cs="Arial"/>
          <w:sz w:val="20"/>
          <w:szCs w:val="20"/>
          <w:lang w:val="en-GB" w:eastAsia="en-GB"/>
        </w:rPr>
        <w:t xml:space="preserve">scale production systems </w:t>
      </w:r>
      <w:r>
        <w:rPr>
          <w:rFonts w:cs="Arial"/>
          <w:sz w:val="20"/>
          <w:szCs w:val="20"/>
          <w:lang w:val="en-GB" w:eastAsia="en-GB"/>
        </w:rPr>
        <w:t>or to</w:t>
      </w:r>
      <w:r w:rsidRPr="00466425">
        <w:rPr>
          <w:rFonts w:cs="Arial"/>
          <w:sz w:val="20"/>
          <w:szCs w:val="20"/>
          <w:lang w:val="en-GB" w:eastAsia="en-GB"/>
        </w:rPr>
        <w:t> a non</w:t>
      </w:r>
      <w:r>
        <w:rPr>
          <w:rFonts w:cs="Arial"/>
          <w:sz w:val="20"/>
          <w:szCs w:val="20"/>
          <w:lang w:val="en-GB" w:eastAsia="en-GB"/>
        </w:rPr>
        <w:t>-</w:t>
      </w:r>
      <w:r w:rsidRPr="00466425">
        <w:rPr>
          <w:rFonts w:cs="Arial"/>
          <w:sz w:val="20"/>
          <w:szCs w:val="20"/>
          <w:lang w:val="en-GB" w:eastAsia="en-GB"/>
        </w:rPr>
        <w:t xml:space="preserve">exhaustive indicative list of criteria that could be looked into </w:t>
      </w:r>
      <w:r>
        <w:rPr>
          <w:rFonts w:cs="Arial"/>
          <w:sz w:val="20"/>
          <w:szCs w:val="20"/>
          <w:lang w:val="en-GB" w:eastAsia="en-GB"/>
        </w:rPr>
        <w:t>with a view to</w:t>
      </w:r>
      <w:r w:rsidRPr="00466425">
        <w:rPr>
          <w:rFonts w:cs="Arial"/>
          <w:sz w:val="20"/>
          <w:szCs w:val="20"/>
          <w:lang w:val="en-GB" w:eastAsia="en-GB"/>
        </w:rPr>
        <w:t xml:space="preserve"> having operational guidelines for differentiated treatment </w:t>
      </w:r>
      <w:r>
        <w:rPr>
          <w:rFonts w:cs="Arial"/>
          <w:sz w:val="20"/>
          <w:szCs w:val="20"/>
          <w:lang w:val="en-GB" w:eastAsia="en-GB"/>
        </w:rPr>
        <w:t>for</w:t>
      </w:r>
      <w:r w:rsidRPr="00466425">
        <w:rPr>
          <w:rFonts w:cs="Arial"/>
          <w:sz w:val="20"/>
          <w:szCs w:val="20"/>
          <w:lang w:val="en-GB" w:eastAsia="en-GB"/>
        </w:rPr>
        <w:t xml:space="preserve"> small</w:t>
      </w:r>
      <w:r>
        <w:rPr>
          <w:rFonts w:cs="Arial"/>
          <w:sz w:val="20"/>
          <w:szCs w:val="20"/>
          <w:lang w:val="en-GB" w:eastAsia="en-GB"/>
        </w:rPr>
        <w:t>-</w:t>
      </w:r>
      <w:r w:rsidRPr="00466425">
        <w:rPr>
          <w:rFonts w:cs="Arial"/>
          <w:sz w:val="20"/>
          <w:szCs w:val="20"/>
          <w:lang w:val="en-GB" w:eastAsia="en-GB"/>
        </w:rPr>
        <w:t xml:space="preserve">scale fisheries, </w:t>
      </w:r>
      <w:r>
        <w:rPr>
          <w:rFonts w:cs="Arial"/>
          <w:sz w:val="20"/>
          <w:szCs w:val="20"/>
          <w:lang w:val="en-GB" w:eastAsia="en-GB"/>
        </w:rPr>
        <w:t xml:space="preserve">this </w:t>
      </w:r>
      <w:r w:rsidRPr="00466425">
        <w:rPr>
          <w:rFonts w:cs="Arial"/>
          <w:sz w:val="20"/>
          <w:szCs w:val="20"/>
          <w:lang w:val="en-GB" w:eastAsia="en-GB"/>
        </w:rPr>
        <w:t xml:space="preserve"> issue </w:t>
      </w:r>
      <w:r>
        <w:rPr>
          <w:rFonts w:cs="Arial"/>
          <w:sz w:val="20"/>
          <w:szCs w:val="20"/>
          <w:lang w:val="en-GB" w:eastAsia="en-GB"/>
        </w:rPr>
        <w:t>being one which needs</w:t>
      </w:r>
      <w:r w:rsidRPr="00466425">
        <w:rPr>
          <w:rFonts w:cs="Arial"/>
          <w:sz w:val="20"/>
          <w:szCs w:val="20"/>
          <w:lang w:val="en-GB" w:eastAsia="en-GB"/>
        </w:rPr>
        <w:t xml:space="preserve"> further debate in ACFA</w:t>
      </w:r>
    </w:p>
    <w:p w:rsidR="00CA6F3A" w:rsidRDefault="00CA6F3A" w:rsidP="00F14787">
      <w:pPr>
        <w:pStyle w:val="FootnoteText"/>
        <w:ind w:left="142"/>
        <w:rPr>
          <w:lang w:val="en-US"/>
        </w:rPr>
      </w:pPr>
      <w:r>
        <w:rPr>
          <w:lang w:val="en-US"/>
        </w:rPr>
        <w:t xml:space="preserve">- </w:t>
      </w:r>
      <w:r w:rsidRPr="00015126">
        <w:rPr>
          <w:lang w:val="en-US"/>
        </w:rPr>
        <w:t xml:space="preserve"> The aquaculture vessels are excluded from the scope of application of the present document that exclusively </w:t>
      </w:r>
      <w:r>
        <w:rPr>
          <w:lang w:val="en-US"/>
        </w:rPr>
        <w:t xml:space="preserve">aims at </w:t>
      </w:r>
      <w:r w:rsidRPr="00015126">
        <w:rPr>
          <w:lang w:val="en-US"/>
        </w:rPr>
        <w:t>fishing vessels</w:t>
      </w:r>
    </w:p>
    <w:p w:rsidR="00CA6F3A" w:rsidRDefault="00CA6F3A" w:rsidP="00F14787">
      <w:pPr>
        <w:pStyle w:val="FootnoteText"/>
        <w:ind w:left="142"/>
      </w:pPr>
    </w:p>
  </w:footnote>
  <w:footnote w:id="3">
    <w:p w:rsidR="00CA6F3A" w:rsidRDefault="00CA6F3A">
      <w:pPr>
        <w:pStyle w:val="FootnoteText"/>
      </w:pPr>
      <w:r>
        <w:rPr>
          <w:rStyle w:val="FootnoteReference"/>
          <w:rFonts w:cs="Calibri"/>
        </w:rPr>
        <w:footnoteRef/>
      </w:r>
      <w:r w:rsidRPr="00D41C40">
        <w:rPr>
          <w:lang w:val="en-US"/>
        </w:rPr>
        <w:t xml:space="preserve">  The bold parts are taken over word for word from the Green Paper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A3B80"/>
    <w:multiLevelType w:val="hybridMultilevel"/>
    <w:tmpl w:val="72FCB882"/>
    <w:lvl w:ilvl="0" w:tplc="C590C4A4">
      <w:start w:val="1"/>
      <w:numFmt w:val="upperRoman"/>
      <w:lvlText w:val="%1)"/>
      <w:lvlJc w:val="left"/>
      <w:pPr>
        <w:ind w:left="1146" w:hanging="72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1">
    <w:nsid w:val="55097965"/>
    <w:multiLevelType w:val="hybridMultilevel"/>
    <w:tmpl w:val="E15C2EA4"/>
    <w:lvl w:ilvl="0" w:tplc="8814E608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LW_DocType" w:val="NORMAL"/>
  </w:docVars>
  <w:rsids>
    <w:rsidRoot w:val="00840B74"/>
    <w:rsid w:val="00015126"/>
    <w:rsid w:val="00145815"/>
    <w:rsid w:val="001F1ED1"/>
    <w:rsid w:val="00224E00"/>
    <w:rsid w:val="00225868"/>
    <w:rsid w:val="0023410F"/>
    <w:rsid w:val="003E07E3"/>
    <w:rsid w:val="00440E26"/>
    <w:rsid w:val="0044150B"/>
    <w:rsid w:val="00452CBB"/>
    <w:rsid w:val="00466425"/>
    <w:rsid w:val="004F4D38"/>
    <w:rsid w:val="00590B55"/>
    <w:rsid w:val="005B49B8"/>
    <w:rsid w:val="00612ED3"/>
    <w:rsid w:val="00725DD5"/>
    <w:rsid w:val="00840B74"/>
    <w:rsid w:val="008F6E89"/>
    <w:rsid w:val="00A43021"/>
    <w:rsid w:val="00AC58DF"/>
    <w:rsid w:val="00B251B5"/>
    <w:rsid w:val="00C429E0"/>
    <w:rsid w:val="00C452E1"/>
    <w:rsid w:val="00C46C4A"/>
    <w:rsid w:val="00C7291E"/>
    <w:rsid w:val="00CA6F3A"/>
    <w:rsid w:val="00CC1B26"/>
    <w:rsid w:val="00CE6003"/>
    <w:rsid w:val="00D04E64"/>
    <w:rsid w:val="00D14AE9"/>
    <w:rsid w:val="00D41C40"/>
    <w:rsid w:val="00D538EE"/>
    <w:rsid w:val="00EA2877"/>
    <w:rsid w:val="00EB084B"/>
    <w:rsid w:val="00EB40AB"/>
    <w:rsid w:val="00EF4697"/>
    <w:rsid w:val="00F14787"/>
    <w:rsid w:val="00FD5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B74"/>
    <w:pPr>
      <w:spacing w:after="200" w:line="276" w:lineRule="auto"/>
    </w:pPr>
    <w:rPr>
      <w:rFonts w:eastAsia="Times New Roman" w:cs="Calibri"/>
      <w:lang w:val="fr-F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uiPriority w:val="99"/>
    <w:rsid w:val="00840B74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840B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40B74"/>
    <w:rPr>
      <w:rFonts w:ascii="Calibri" w:hAnsi="Calibri" w:cs="Calibri"/>
      <w:snapToGrid w:val="0"/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rsid w:val="00840B74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63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651</Words>
  <Characters>3712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Veerle</dc:creator>
  <cp:keywords/>
  <dc:description/>
  <cp:lastModifiedBy>ruizmar</cp:lastModifiedBy>
  <cp:revision>10</cp:revision>
  <dcterms:created xsi:type="dcterms:W3CDTF">2010-07-02T08:58:00Z</dcterms:created>
  <dcterms:modified xsi:type="dcterms:W3CDTF">2010-07-06T08:14:00Z</dcterms:modified>
</cp:coreProperties>
</file>