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AB" w:rsidRPr="00566A4C" w:rsidRDefault="00864EAB" w:rsidP="00864EAB">
      <w:bookmarkStart w:id="0" w:name="_GoBack"/>
      <w:bookmarkEnd w:id="0"/>
    </w:p>
    <w:p w:rsidR="00CF1A23" w:rsidRPr="00CF1A23" w:rsidRDefault="000322FE" w:rsidP="00CF1A23">
      <w:pPr>
        <w:spacing w:before="0"/>
        <w:jc w:val="left"/>
        <w:rPr>
          <w:rFonts w:cs="Arial"/>
          <w:b/>
          <w:bCs/>
          <w:smallCaps/>
          <w:color w:val="1F497D" w:themeColor="text2"/>
          <w:spacing w:val="-16"/>
          <w:sz w:val="40"/>
          <w:szCs w:val="40"/>
          <w:lang w:val="en-GB"/>
        </w:rPr>
      </w:pPr>
      <w:r>
        <w:rPr>
          <w:rFonts w:cs="Arial"/>
          <w:b/>
          <w:bCs/>
          <w:smallCaps/>
          <w:color w:val="1F497D" w:themeColor="text2"/>
          <w:spacing w:val="5"/>
          <w:sz w:val="40"/>
          <w:szCs w:val="40"/>
          <w:lang w:val="en-GB"/>
        </w:rPr>
        <w:t>S</w:t>
      </w:r>
      <w:r w:rsidRPr="000322FE">
        <w:rPr>
          <w:rFonts w:cs="Arial"/>
          <w:b/>
          <w:bCs/>
          <w:smallCaps/>
          <w:color w:val="1F497D" w:themeColor="text2"/>
          <w:spacing w:val="5"/>
          <w:sz w:val="40"/>
          <w:szCs w:val="40"/>
          <w:lang w:val="en-GB"/>
        </w:rPr>
        <w:t xml:space="preserve">tudy on </w:t>
      </w:r>
      <w:r w:rsidR="006F4D87">
        <w:rPr>
          <w:rFonts w:cs="Arial"/>
          <w:b/>
          <w:bCs/>
          <w:smallCaps/>
          <w:color w:val="1F497D" w:themeColor="text2"/>
          <w:spacing w:val="5"/>
          <w:sz w:val="40"/>
          <w:szCs w:val="40"/>
          <w:lang w:val="en-GB"/>
        </w:rPr>
        <w:t xml:space="preserve">Deepening Understanding of Potential </w:t>
      </w:r>
      <w:r w:rsidRPr="000322FE">
        <w:rPr>
          <w:rFonts w:cs="Arial"/>
          <w:b/>
          <w:bCs/>
          <w:smallCaps/>
          <w:color w:val="1F497D" w:themeColor="text2"/>
          <w:spacing w:val="5"/>
          <w:sz w:val="40"/>
          <w:szCs w:val="40"/>
          <w:lang w:val="en-GB"/>
        </w:rPr>
        <w:t xml:space="preserve">Blue Growth </w:t>
      </w:r>
      <w:r w:rsidR="006F4D87">
        <w:rPr>
          <w:rFonts w:cs="Arial"/>
          <w:b/>
          <w:bCs/>
          <w:smallCaps/>
          <w:color w:val="1F497D" w:themeColor="text2"/>
          <w:spacing w:val="5"/>
          <w:sz w:val="40"/>
          <w:szCs w:val="40"/>
          <w:lang w:val="en-GB"/>
        </w:rPr>
        <w:t>in the EU Member States on Europe’s Atlantic Arc</w:t>
      </w:r>
    </w:p>
    <w:p w:rsidR="00864EAB" w:rsidRPr="00CF1A23" w:rsidRDefault="00864EAB" w:rsidP="00864EAB">
      <w:pPr>
        <w:jc w:val="right"/>
        <w:rPr>
          <w:rFonts w:cs="Arial"/>
          <w:b/>
          <w:bCs/>
          <w:smallCaps/>
          <w:color w:val="1F497D" w:themeColor="text2"/>
          <w:spacing w:val="5"/>
          <w:sz w:val="28"/>
          <w:szCs w:val="28"/>
          <w:lang w:val="en-GB"/>
        </w:rPr>
      </w:pPr>
    </w:p>
    <w:p w:rsidR="00864EAB" w:rsidRPr="00CF1A23" w:rsidRDefault="000D7FB2" w:rsidP="00864EAB">
      <w:pPr>
        <w:spacing w:before="240"/>
        <w:jc w:val="right"/>
        <w:rPr>
          <w:rFonts w:cs="Arial"/>
          <w:b/>
          <w:bCs/>
          <w:smallCaps/>
          <w:color w:val="1F497D" w:themeColor="text2"/>
          <w:spacing w:val="5"/>
          <w:sz w:val="28"/>
          <w:szCs w:val="28"/>
          <w:lang w:val="en-GB"/>
        </w:rPr>
      </w:pPr>
      <w:r w:rsidRPr="000D7FB2">
        <w:rPr>
          <w:rFonts w:cs="Arial"/>
          <w:b/>
          <w:bCs/>
          <w:smallCaps/>
          <w:color w:val="1F497D" w:themeColor="text2"/>
          <w:spacing w:val="5"/>
          <w:sz w:val="28"/>
          <w:szCs w:val="28"/>
          <w:lang w:val="en-GB"/>
        </w:rPr>
        <w:t>Client: DG Maritime Affairs and Fisheries</w:t>
      </w:r>
    </w:p>
    <w:p w:rsidR="00864EAB" w:rsidRPr="00EF0321" w:rsidRDefault="000322FE" w:rsidP="00864EAB">
      <w:pPr>
        <w:jc w:val="right"/>
        <w:rPr>
          <w:rFonts w:cs="Arial"/>
          <w:bCs/>
          <w:smallCaps/>
          <w:color w:val="1F497D" w:themeColor="text2"/>
          <w:spacing w:val="6"/>
          <w:sz w:val="28"/>
          <w:szCs w:val="28"/>
          <w:lang w:val="it-IT"/>
        </w:rPr>
      </w:pPr>
      <w:r w:rsidRPr="00EF0321">
        <w:rPr>
          <w:rFonts w:cs="Arial"/>
          <w:bCs/>
          <w:smallCaps/>
          <w:color w:val="1F497D" w:themeColor="text2"/>
          <w:spacing w:val="6"/>
          <w:sz w:val="28"/>
          <w:szCs w:val="28"/>
          <w:lang w:val="it-IT"/>
        </w:rPr>
        <w:t xml:space="preserve">FWC MARE/2012/06 – SC </w:t>
      </w:r>
      <w:r w:rsidR="006F4D87">
        <w:rPr>
          <w:rFonts w:cs="Arial"/>
          <w:bCs/>
          <w:smallCaps/>
          <w:color w:val="1F497D" w:themeColor="text2"/>
          <w:spacing w:val="6"/>
          <w:sz w:val="28"/>
          <w:szCs w:val="28"/>
          <w:lang w:val="it-IT"/>
        </w:rPr>
        <w:t>C</w:t>
      </w:r>
      <w:r w:rsidRPr="00EF0321">
        <w:rPr>
          <w:rFonts w:cs="Arial"/>
          <w:bCs/>
          <w:smallCaps/>
          <w:color w:val="1F497D" w:themeColor="text2"/>
          <w:spacing w:val="6"/>
          <w:sz w:val="28"/>
          <w:szCs w:val="28"/>
          <w:lang w:val="it-IT"/>
        </w:rPr>
        <w:t>1/201</w:t>
      </w:r>
      <w:r w:rsidR="006F4D87">
        <w:rPr>
          <w:rFonts w:cs="Arial"/>
          <w:bCs/>
          <w:smallCaps/>
          <w:color w:val="1F497D" w:themeColor="text2"/>
          <w:spacing w:val="6"/>
          <w:sz w:val="28"/>
          <w:szCs w:val="28"/>
          <w:lang w:val="it-IT"/>
        </w:rPr>
        <w:t>3</w:t>
      </w:r>
      <w:r w:rsidRPr="00EF0321">
        <w:rPr>
          <w:rFonts w:cs="Arial"/>
          <w:bCs/>
          <w:smallCaps/>
          <w:color w:val="1F497D" w:themeColor="text2"/>
          <w:spacing w:val="6"/>
          <w:sz w:val="28"/>
          <w:szCs w:val="28"/>
          <w:lang w:val="it-IT"/>
        </w:rPr>
        <w:t>/0</w:t>
      </w:r>
      <w:r w:rsidR="006F4D87">
        <w:rPr>
          <w:rFonts w:cs="Arial"/>
          <w:bCs/>
          <w:smallCaps/>
          <w:color w:val="1F497D" w:themeColor="text2"/>
          <w:spacing w:val="6"/>
          <w:sz w:val="28"/>
          <w:szCs w:val="28"/>
          <w:lang w:val="it-IT"/>
        </w:rPr>
        <w:t>2</w:t>
      </w:r>
    </w:p>
    <w:p w:rsidR="00A66893" w:rsidRPr="00EF0321" w:rsidRDefault="005A08AA" w:rsidP="00864EAB">
      <w:pPr>
        <w:jc w:val="right"/>
        <w:rPr>
          <w:rFonts w:cs="Arial"/>
          <w:bCs/>
          <w:smallCaps/>
          <w:color w:val="1F497D" w:themeColor="text2"/>
          <w:spacing w:val="5"/>
          <w:lang w:val="it-IT"/>
        </w:rPr>
      </w:pPr>
      <w:r>
        <w:rPr>
          <w:rFonts w:cs="Arial"/>
          <w:bCs/>
          <w:smallCaps/>
          <w:color w:val="1F497D" w:themeColor="text2"/>
          <w:spacing w:val="5"/>
          <w:lang w:val="it-IT"/>
        </w:rPr>
        <w:t>1</w:t>
      </w:r>
      <w:r w:rsidR="00B34341">
        <w:rPr>
          <w:rFonts w:cs="Arial"/>
          <w:bCs/>
          <w:smallCaps/>
          <w:color w:val="1F497D" w:themeColor="text2"/>
          <w:spacing w:val="5"/>
          <w:lang w:val="it-IT"/>
        </w:rPr>
        <w:t>8</w:t>
      </w:r>
      <w:r>
        <w:rPr>
          <w:rFonts w:cs="Arial"/>
          <w:bCs/>
          <w:smallCaps/>
          <w:color w:val="1F497D" w:themeColor="text2"/>
          <w:spacing w:val="5"/>
          <w:lang w:val="it-IT"/>
        </w:rPr>
        <w:t>th October</w:t>
      </w:r>
      <w:r w:rsidR="00985B03">
        <w:rPr>
          <w:rFonts w:cs="Arial"/>
          <w:bCs/>
          <w:smallCaps/>
          <w:color w:val="1F497D" w:themeColor="text2"/>
          <w:spacing w:val="5"/>
          <w:lang w:val="it-IT"/>
        </w:rPr>
        <w:t xml:space="preserve"> </w:t>
      </w:r>
      <w:r w:rsidR="00A66893" w:rsidRPr="00EF0321">
        <w:rPr>
          <w:rFonts w:cs="Arial"/>
          <w:bCs/>
          <w:smallCaps/>
          <w:color w:val="1F497D" w:themeColor="text2"/>
          <w:spacing w:val="5"/>
          <w:lang w:val="it-IT"/>
        </w:rPr>
        <w:t>2013</w:t>
      </w:r>
    </w:p>
    <w:p w:rsidR="00CF1A23" w:rsidRPr="00EF0321" w:rsidRDefault="00CF1A23" w:rsidP="00864EAB">
      <w:pPr>
        <w:spacing w:after="360"/>
        <w:jc w:val="right"/>
        <w:rPr>
          <w:rFonts w:cs="Arial"/>
          <w:bCs/>
          <w:smallCaps/>
          <w:color w:val="1F497D"/>
          <w:spacing w:val="5"/>
          <w:sz w:val="44"/>
          <w:lang w:val="it-IT"/>
        </w:rPr>
      </w:pPr>
    </w:p>
    <w:p w:rsidR="00864EAB" w:rsidRPr="00CF1A23" w:rsidRDefault="0014043F" w:rsidP="000322FE">
      <w:pPr>
        <w:spacing w:after="360"/>
        <w:jc w:val="left"/>
        <w:rPr>
          <w:rFonts w:cs="Arial"/>
          <w:bCs/>
          <w:smallCaps/>
          <w:color w:val="1F497D"/>
          <w:spacing w:val="5"/>
          <w:sz w:val="44"/>
          <w:lang w:val="en-GB"/>
        </w:rPr>
      </w:pPr>
      <w:r w:rsidRPr="000322FE">
        <w:rPr>
          <w:rFonts w:ascii="Arial" w:eastAsia="Times New Roman" w:hAnsi="Arial" w:cs="Times New Roman"/>
          <w:noProof/>
          <w:sz w:val="16"/>
          <w:szCs w:val="16"/>
          <w:lang w:val="en-GB" w:eastAsia="en-GB"/>
        </w:rPr>
        <w:drawing>
          <wp:anchor distT="0" distB="0" distL="114300" distR="114300" simplePos="0" relativeHeight="251671552" behindDoc="1" locked="0" layoutInCell="1" allowOverlap="1" wp14:anchorId="44B86DE0" wp14:editId="725C0137">
            <wp:simplePos x="0" y="0"/>
            <wp:positionH relativeFrom="column">
              <wp:posOffset>1163955</wp:posOffset>
            </wp:positionH>
            <wp:positionV relativeFrom="paragraph">
              <wp:posOffset>593090</wp:posOffset>
            </wp:positionV>
            <wp:extent cx="6746875" cy="6534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96652bol.JPG"/>
                    <pic:cNvPicPr/>
                  </pic:nvPicPr>
                  <pic:blipFill rotWithShape="1">
                    <a:blip r:embed="rId9" cstate="print">
                      <a:extLst>
                        <a:ext uri="{28A0092B-C50C-407E-A947-70E740481C1C}">
                          <a14:useLocalDpi xmlns:a14="http://schemas.microsoft.com/office/drawing/2010/main" val="0"/>
                        </a:ext>
                      </a:extLst>
                    </a:blip>
                    <a:srcRect l="11405" t="970" r="11900"/>
                    <a:stretch/>
                  </pic:blipFill>
                  <pic:spPr bwMode="auto">
                    <a:xfrm>
                      <a:off x="0" y="0"/>
                      <a:ext cx="6746875" cy="6534150"/>
                    </a:xfrm>
                    <a:prstGeom prst="rect">
                      <a:avLst/>
                    </a:prstGeom>
                    <a:ln>
                      <a:noFill/>
                    </a:ln>
                    <a:extLst>
                      <a:ext uri="{53640926-AAD7-44D8-BBD7-CCE9431645EC}">
                        <a14:shadowObscured xmlns:a14="http://schemas.microsoft.com/office/drawing/2010/main"/>
                      </a:ext>
                    </a:extLst>
                  </pic:spPr>
                </pic:pic>
              </a:graphicData>
            </a:graphic>
          </wp:anchor>
        </w:drawing>
      </w:r>
      <w:r>
        <w:rPr>
          <w:rFonts w:cs="Arial"/>
          <w:bCs/>
          <w:smallCaps/>
          <w:color w:val="0070C0"/>
          <w:spacing w:val="5"/>
          <w:sz w:val="48"/>
          <w:szCs w:val="56"/>
          <w:lang w:val="en-GB" w:eastAsia="it-IT"/>
        </w:rPr>
        <w:t xml:space="preserve">draft final </w:t>
      </w:r>
      <w:r w:rsidR="00082B67" w:rsidRPr="00082B67">
        <w:rPr>
          <w:rFonts w:cs="Arial"/>
          <w:bCs/>
          <w:smallCaps/>
          <w:color w:val="0070C0"/>
          <w:spacing w:val="5"/>
          <w:sz w:val="48"/>
          <w:szCs w:val="56"/>
          <w:lang w:val="en-GB" w:eastAsia="it-IT"/>
        </w:rPr>
        <w:t xml:space="preserve">Country </w:t>
      </w:r>
      <w:r w:rsidR="009D10AA">
        <w:rPr>
          <w:rFonts w:cs="Arial"/>
          <w:bCs/>
          <w:smallCaps/>
          <w:color w:val="0070C0"/>
          <w:spacing w:val="5"/>
          <w:sz w:val="48"/>
          <w:szCs w:val="56"/>
          <w:lang w:val="en-GB" w:eastAsia="it-IT"/>
        </w:rPr>
        <w:t>Paper</w:t>
      </w:r>
      <w:r w:rsidR="00A472D7">
        <w:rPr>
          <w:rFonts w:cs="Arial"/>
          <w:bCs/>
          <w:smallCaps/>
          <w:color w:val="0070C0"/>
          <w:spacing w:val="5"/>
          <w:sz w:val="48"/>
          <w:szCs w:val="56"/>
          <w:lang w:val="en-GB" w:eastAsia="it-IT"/>
        </w:rPr>
        <w:t xml:space="preserve"> – revised version</w:t>
      </w:r>
    </w:p>
    <w:p w:rsidR="00864EAB" w:rsidRPr="00082B67" w:rsidRDefault="00F315F0" w:rsidP="000322FE">
      <w:pPr>
        <w:spacing w:after="360"/>
        <w:jc w:val="left"/>
        <w:rPr>
          <w:rFonts w:cs="Arial"/>
          <w:bCs/>
          <w:i/>
          <w:smallCaps/>
          <w:color w:val="0070C0"/>
          <w:spacing w:val="5"/>
          <w:sz w:val="56"/>
          <w:szCs w:val="56"/>
          <w:lang w:val="en-GB" w:eastAsia="it-IT"/>
        </w:rPr>
      </w:pPr>
      <w:r w:rsidRPr="00F315F0">
        <w:rPr>
          <w:rFonts w:cs="Arial"/>
          <w:bCs/>
          <w:i/>
          <w:smallCaps/>
          <w:color w:val="0070C0"/>
          <w:spacing w:val="5"/>
          <w:sz w:val="56"/>
          <w:szCs w:val="56"/>
          <w:lang w:val="en-GB" w:eastAsia="it-IT"/>
        </w:rPr>
        <w:t>France</w:t>
      </w:r>
    </w:p>
    <w:p w:rsidR="00864EAB" w:rsidRPr="00794EFE" w:rsidRDefault="00864EAB" w:rsidP="00864EAB">
      <w:pPr>
        <w:rPr>
          <w:lang w:val="en-GB"/>
        </w:rPr>
      </w:pPr>
    </w:p>
    <w:p w:rsidR="00864EAB" w:rsidRPr="00CF1A23" w:rsidRDefault="00864EAB" w:rsidP="00864EAB">
      <w:pPr>
        <w:rPr>
          <w:lang w:val="en-GB"/>
        </w:rPr>
      </w:pPr>
    </w:p>
    <w:p w:rsidR="00864EAB" w:rsidRPr="00CF1A23" w:rsidRDefault="00077C27" w:rsidP="000322FE">
      <w:pPr>
        <w:jc w:val="left"/>
        <w:rPr>
          <w:rFonts w:cs="Arial"/>
          <w:b/>
          <w:bCs/>
          <w:smallCaps/>
          <w:color w:val="1F497D"/>
          <w:spacing w:val="5"/>
          <w:sz w:val="36"/>
          <w:szCs w:val="44"/>
          <w:lang w:val="en-GB"/>
        </w:rPr>
        <w:sectPr w:rsidR="00864EAB" w:rsidRPr="00CF1A23" w:rsidSect="005A08AA">
          <w:footerReference w:type="default" r:id="rId10"/>
          <w:headerReference w:type="first" r:id="rId11"/>
          <w:footerReference w:type="first" r:id="rId12"/>
          <w:pgSz w:w="11906" w:h="16838"/>
          <w:pgMar w:top="1418" w:right="1134" w:bottom="1134" w:left="1134" w:header="709" w:footer="953" w:gutter="0"/>
          <w:cols w:space="708"/>
          <w:docGrid w:linePitch="360"/>
        </w:sectPr>
      </w:pPr>
      <w:r>
        <w:rPr>
          <w:rFonts w:cs="Arial"/>
          <w:b/>
          <w:bCs/>
          <w:i/>
          <w:smallCaps/>
          <w:color w:val="1F497D"/>
          <w:spacing w:val="5"/>
          <w:sz w:val="36"/>
          <w:szCs w:val="44"/>
          <w:lang w:val="en-GB"/>
        </w:rPr>
        <w:t>1</w:t>
      </w:r>
      <w:r w:rsidR="00B34341">
        <w:rPr>
          <w:rFonts w:cs="Arial"/>
          <w:b/>
          <w:bCs/>
          <w:i/>
          <w:smallCaps/>
          <w:color w:val="1F497D"/>
          <w:spacing w:val="5"/>
          <w:sz w:val="36"/>
          <w:szCs w:val="44"/>
          <w:lang w:val="en-GB"/>
        </w:rPr>
        <w:t>8</w:t>
      </w:r>
      <w:r w:rsidR="005A08AA" w:rsidRPr="005A08AA">
        <w:rPr>
          <w:rFonts w:cs="Arial"/>
          <w:b/>
          <w:bCs/>
          <w:i/>
          <w:smallCaps/>
          <w:color w:val="1F497D"/>
          <w:spacing w:val="5"/>
          <w:sz w:val="36"/>
          <w:szCs w:val="44"/>
          <w:vertAlign w:val="superscript"/>
          <w:lang w:val="en-GB"/>
        </w:rPr>
        <w:t>th</w:t>
      </w:r>
      <w:r w:rsidR="005A08AA">
        <w:rPr>
          <w:rFonts w:cs="Arial"/>
          <w:b/>
          <w:bCs/>
          <w:i/>
          <w:smallCaps/>
          <w:color w:val="1F497D"/>
          <w:spacing w:val="5"/>
          <w:sz w:val="36"/>
          <w:szCs w:val="44"/>
          <w:lang w:val="en-GB"/>
        </w:rPr>
        <w:t xml:space="preserve"> October </w:t>
      </w:r>
      <w:r w:rsidR="00082B67">
        <w:rPr>
          <w:rFonts w:cs="Arial"/>
          <w:b/>
          <w:bCs/>
          <w:smallCaps/>
          <w:color w:val="1F497D"/>
          <w:spacing w:val="5"/>
          <w:sz w:val="36"/>
          <w:szCs w:val="44"/>
          <w:lang w:val="en-GB"/>
        </w:rPr>
        <w:t xml:space="preserve"> </w:t>
      </w:r>
      <w:r w:rsidR="00864EAB" w:rsidRPr="00CF1A23">
        <w:rPr>
          <w:rFonts w:cs="Arial"/>
          <w:b/>
          <w:bCs/>
          <w:smallCaps/>
          <w:color w:val="1F497D"/>
          <w:spacing w:val="5"/>
          <w:sz w:val="36"/>
          <w:szCs w:val="44"/>
          <w:lang w:val="en-GB"/>
        </w:rPr>
        <w:t>2013</w:t>
      </w:r>
    </w:p>
    <w:p w:rsidR="00890E17" w:rsidRPr="00794EFE" w:rsidRDefault="00890E17" w:rsidP="00794EFE">
      <w:pPr>
        <w:rPr>
          <w:lang w:val="en-GB"/>
        </w:rPr>
      </w:pPr>
      <w:bookmarkStart w:id="1" w:name="_Toc350426824"/>
      <w:bookmarkStart w:id="2" w:name="_Toc350430468"/>
    </w:p>
    <w:p w:rsidR="007D2D8B" w:rsidRPr="00A472D7" w:rsidRDefault="007D2D8B" w:rsidP="00A472D7">
      <w:pPr>
        <w:rPr>
          <w:lang w:val="en-GB"/>
        </w:rPr>
      </w:pPr>
    </w:p>
    <w:p w:rsidR="00464947" w:rsidRPr="00082B67" w:rsidRDefault="00464947" w:rsidP="00464947">
      <w:pPr>
        <w:pBdr>
          <w:bottom w:val="single" w:sz="4" w:space="1" w:color="auto"/>
        </w:pBdr>
        <w:spacing w:before="0"/>
        <w:jc w:val="left"/>
        <w:rPr>
          <w:color w:val="4F81BD" w:themeColor="accent1"/>
          <w:sz w:val="32"/>
          <w:lang w:val="en-GB" w:eastAsia="it-IT"/>
        </w:rPr>
      </w:pPr>
      <w:r w:rsidRPr="00082B67">
        <w:rPr>
          <w:color w:val="4F81BD" w:themeColor="accent1"/>
          <w:sz w:val="32"/>
          <w:lang w:val="en-GB" w:eastAsia="it-IT"/>
        </w:rPr>
        <w:t>Content</w:t>
      </w:r>
      <w:bookmarkEnd w:id="1"/>
      <w:bookmarkEnd w:id="2"/>
      <w:r w:rsidR="00890E17">
        <w:rPr>
          <w:color w:val="4F81BD" w:themeColor="accent1"/>
          <w:sz w:val="32"/>
          <w:lang w:val="en-GB" w:eastAsia="it-IT"/>
        </w:rPr>
        <w:t>s</w:t>
      </w:r>
    </w:p>
    <w:p w:rsidR="00464947" w:rsidRDefault="00464947" w:rsidP="00464947">
      <w:pPr>
        <w:pStyle w:val="NoSpacing"/>
        <w:rPr>
          <w:i/>
          <w:sz w:val="20"/>
          <w:lang w:val="en-GB"/>
        </w:rPr>
      </w:pPr>
    </w:p>
    <w:p w:rsidR="002B3904" w:rsidRDefault="002B3904" w:rsidP="00864EAB">
      <w:pPr>
        <w:rPr>
          <w:lang w:val="en-US"/>
        </w:rPr>
      </w:pPr>
    </w:p>
    <w:p w:rsidR="00F368DF" w:rsidRDefault="00B47E7C">
      <w:pPr>
        <w:pStyle w:val="TOC1"/>
        <w:rPr>
          <w:rFonts w:eastAsiaTheme="minorEastAsia"/>
          <w:b w:val="0"/>
          <w:noProof/>
          <w:color w:val="auto"/>
          <w:lang w:val="en-GB" w:eastAsia="en-GB"/>
        </w:rPr>
      </w:pPr>
      <w:r w:rsidRPr="000C0C93">
        <w:rPr>
          <w:lang w:val="en-GB"/>
        </w:rPr>
        <w:fldChar w:fldCharType="begin"/>
      </w:r>
      <w:r w:rsidR="00864EAB" w:rsidRPr="000C0C93">
        <w:rPr>
          <w:lang w:val="en-GB"/>
        </w:rPr>
        <w:instrText xml:space="preserve"> TOC \o "1-3" \h \z \u </w:instrText>
      </w:r>
      <w:r w:rsidRPr="000C0C93">
        <w:rPr>
          <w:lang w:val="en-GB"/>
        </w:rPr>
        <w:fldChar w:fldCharType="separate"/>
      </w:r>
      <w:hyperlink w:anchor="_Toc369887002" w:history="1">
        <w:r w:rsidR="00F368DF" w:rsidRPr="00471AFA">
          <w:rPr>
            <w:rStyle w:val="Hyperlink"/>
            <w:noProof/>
          </w:rPr>
          <w:t>Preface</w:t>
        </w:r>
        <w:r w:rsidR="00F368DF">
          <w:rPr>
            <w:noProof/>
            <w:webHidden/>
          </w:rPr>
          <w:tab/>
        </w:r>
        <w:r w:rsidR="00F368DF">
          <w:rPr>
            <w:noProof/>
            <w:webHidden/>
          </w:rPr>
          <w:fldChar w:fldCharType="begin"/>
        </w:r>
        <w:r w:rsidR="00F368DF">
          <w:rPr>
            <w:noProof/>
            <w:webHidden/>
          </w:rPr>
          <w:instrText xml:space="preserve"> PAGEREF _Toc369887002 \h </w:instrText>
        </w:r>
        <w:r w:rsidR="00F368DF">
          <w:rPr>
            <w:noProof/>
            <w:webHidden/>
          </w:rPr>
        </w:r>
        <w:r w:rsidR="00F368DF">
          <w:rPr>
            <w:noProof/>
            <w:webHidden/>
          </w:rPr>
          <w:fldChar w:fldCharType="separate"/>
        </w:r>
        <w:r w:rsidR="00F368DF">
          <w:rPr>
            <w:noProof/>
            <w:webHidden/>
          </w:rPr>
          <w:t>1</w:t>
        </w:r>
        <w:r w:rsidR="00F368DF">
          <w:rPr>
            <w:noProof/>
            <w:webHidden/>
          </w:rPr>
          <w:fldChar w:fldCharType="end"/>
        </w:r>
      </w:hyperlink>
    </w:p>
    <w:p w:rsidR="00F368DF" w:rsidRDefault="007C1627">
      <w:pPr>
        <w:pStyle w:val="TOC1"/>
        <w:rPr>
          <w:rFonts w:eastAsiaTheme="minorEastAsia"/>
          <w:b w:val="0"/>
          <w:noProof/>
          <w:color w:val="auto"/>
          <w:lang w:val="en-GB" w:eastAsia="en-GB"/>
        </w:rPr>
      </w:pPr>
      <w:hyperlink w:anchor="_Toc369887003" w:history="1">
        <w:r w:rsidR="00F368DF" w:rsidRPr="00471AFA">
          <w:rPr>
            <w:rStyle w:val="Hyperlink"/>
            <w:noProof/>
          </w:rPr>
          <w:t>0.</w:t>
        </w:r>
        <w:r w:rsidR="00F368DF">
          <w:rPr>
            <w:rFonts w:eastAsiaTheme="minorEastAsia"/>
            <w:b w:val="0"/>
            <w:noProof/>
            <w:color w:val="auto"/>
            <w:lang w:val="en-GB" w:eastAsia="en-GB"/>
          </w:rPr>
          <w:tab/>
        </w:r>
        <w:r w:rsidR="00F368DF" w:rsidRPr="00471AFA">
          <w:rPr>
            <w:rStyle w:val="Hyperlink"/>
            <w:noProof/>
          </w:rPr>
          <w:t>General overview</w:t>
        </w:r>
        <w:r w:rsidR="00F368DF">
          <w:rPr>
            <w:noProof/>
            <w:webHidden/>
          </w:rPr>
          <w:tab/>
        </w:r>
        <w:r w:rsidR="00F368DF">
          <w:rPr>
            <w:noProof/>
            <w:webHidden/>
          </w:rPr>
          <w:fldChar w:fldCharType="begin"/>
        </w:r>
        <w:r w:rsidR="00F368DF">
          <w:rPr>
            <w:noProof/>
            <w:webHidden/>
          </w:rPr>
          <w:instrText xml:space="preserve"> PAGEREF _Toc369887003 \h </w:instrText>
        </w:r>
        <w:r w:rsidR="00F368DF">
          <w:rPr>
            <w:noProof/>
            <w:webHidden/>
          </w:rPr>
        </w:r>
        <w:r w:rsidR="00F368DF">
          <w:rPr>
            <w:noProof/>
            <w:webHidden/>
          </w:rPr>
          <w:fldChar w:fldCharType="separate"/>
        </w:r>
        <w:r w:rsidR="00F368DF">
          <w:rPr>
            <w:noProof/>
            <w:webHidden/>
          </w:rPr>
          <w:t>2</w:t>
        </w:r>
        <w:r w:rsidR="00F368DF">
          <w:rPr>
            <w:noProof/>
            <w:webHidden/>
          </w:rPr>
          <w:fldChar w:fldCharType="end"/>
        </w:r>
      </w:hyperlink>
    </w:p>
    <w:p w:rsidR="00F368DF" w:rsidRDefault="007C1627">
      <w:pPr>
        <w:pStyle w:val="TOC1"/>
        <w:rPr>
          <w:rFonts w:eastAsiaTheme="minorEastAsia"/>
          <w:b w:val="0"/>
          <w:noProof/>
          <w:color w:val="auto"/>
          <w:lang w:val="en-GB" w:eastAsia="en-GB"/>
        </w:rPr>
      </w:pPr>
      <w:hyperlink w:anchor="_Toc369887004" w:history="1">
        <w:r w:rsidR="00F368DF" w:rsidRPr="00471AFA">
          <w:rPr>
            <w:rStyle w:val="Hyperlink"/>
            <w:noProof/>
          </w:rPr>
          <w:t>1.</w:t>
        </w:r>
        <w:r w:rsidR="00F368DF">
          <w:rPr>
            <w:rFonts w:eastAsiaTheme="minorEastAsia"/>
            <w:b w:val="0"/>
            <w:noProof/>
            <w:color w:val="auto"/>
            <w:lang w:val="en-GB" w:eastAsia="en-GB"/>
          </w:rPr>
          <w:tab/>
        </w:r>
        <w:r w:rsidR="00F368DF" w:rsidRPr="00471AFA">
          <w:rPr>
            <w:rStyle w:val="Hyperlink"/>
            <w:noProof/>
          </w:rPr>
          <w:t>Marine and maritime economic activities</w:t>
        </w:r>
        <w:r w:rsidR="00F368DF">
          <w:rPr>
            <w:noProof/>
            <w:webHidden/>
          </w:rPr>
          <w:tab/>
        </w:r>
        <w:r w:rsidR="00F368DF">
          <w:rPr>
            <w:noProof/>
            <w:webHidden/>
          </w:rPr>
          <w:fldChar w:fldCharType="begin"/>
        </w:r>
        <w:r w:rsidR="00F368DF">
          <w:rPr>
            <w:noProof/>
            <w:webHidden/>
          </w:rPr>
          <w:instrText xml:space="preserve"> PAGEREF _Toc369887004 \h </w:instrText>
        </w:r>
        <w:r w:rsidR="00F368DF">
          <w:rPr>
            <w:noProof/>
            <w:webHidden/>
          </w:rPr>
        </w:r>
        <w:r w:rsidR="00F368DF">
          <w:rPr>
            <w:noProof/>
            <w:webHidden/>
          </w:rPr>
          <w:fldChar w:fldCharType="separate"/>
        </w:r>
        <w:r w:rsidR="00F368DF">
          <w:rPr>
            <w:noProof/>
            <w:webHidden/>
          </w:rPr>
          <w:t>4</w:t>
        </w:r>
        <w:r w:rsidR="00F368DF">
          <w:rPr>
            <w:noProof/>
            <w:webHidden/>
          </w:rPr>
          <w:fldChar w:fldCharType="end"/>
        </w:r>
      </w:hyperlink>
    </w:p>
    <w:p w:rsidR="00F368DF" w:rsidRDefault="007C1627">
      <w:pPr>
        <w:pStyle w:val="TOC2"/>
        <w:rPr>
          <w:rFonts w:eastAsiaTheme="minorEastAsia"/>
          <w:noProof/>
          <w:lang w:val="en-GB" w:eastAsia="en-GB"/>
        </w:rPr>
      </w:pPr>
      <w:hyperlink w:anchor="_Toc369887005" w:history="1">
        <w:r w:rsidR="00F368DF" w:rsidRPr="00471AFA">
          <w:rPr>
            <w:rStyle w:val="Hyperlink"/>
            <w:noProof/>
          </w:rPr>
          <w:t>1.1.</w:t>
        </w:r>
        <w:r w:rsidR="00F368DF">
          <w:rPr>
            <w:rFonts w:eastAsiaTheme="minorEastAsia"/>
            <w:noProof/>
            <w:lang w:val="en-GB" w:eastAsia="en-GB"/>
          </w:rPr>
          <w:tab/>
        </w:r>
        <w:r w:rsidR="00F368DF" w:rsidRPr="00471AFA">
          <w:rPr>
            <w:rStyle w:val="Hyperlink"/>
            <w:noProof/>
          </w:rPr>
          <w:t>Overview of relevant maritime economic activities in France</w:t>
        </w:r>
        <w:r w:rsidR="00F368DF">
          <w:rPr>
            <w:noProof/>
            <w:webHidden/>
          </w:rPr>
          <w:tab/>
        </w:r>
        <w:r w:rsidR="00F368DF">
          <w:rPr>
            <w:noProof/>
            <w:webHidden/>
          </w:rPr>
          <w:fldChar w:fldCharType="begin"/>
        </w:r>
        <w:r w:rsidR="00F368DF">
          <w:rPr>
            <w:noProof/>
            <w:webHidden/>
          </w:rPr>
          <w:instrText xml:space="preserve"> PAGEREF _Toc369887005 \h </w:instrText>
        </w:r>
        <w:r w:rsidR="00F368DF">
          <w:rPr>
            <w:noProof/>
            <w:webHidden/>
          </w:rPr>
        </w:r>
        <w:r w:rsidR="00F368DF">
          <w:rPr>
            <w:noProof/>
            <w:webHidden/>
          </w:rPr>
          <w:fldChar w:fldCharType="separate"/>
        </w:r>
        <w:r w:rsidR="00F368DF">
          <w:rPr>
            <w:noProof/>
            <w:webHidden/>
          </w:rPr>
          <w:t>4</w:t>
        </w:r>
        <w:r w:rsidR="00F368DF">
          <w:rPr>
            <w:noProof/>
            <w:webHidden/>
          </w:rPr>
          <w:fldChar w:fldCharType="end"/>
        </w:r>
      </w:hyperlink>
    </w:p>
    <w:p w:rsidR="00F368DF" w:rsidRDefault="007C1627">
      <w:pPr>
        <w:pStyle w:val="TOC2"/>
        <w:rPr>
          <w:rFonts w:eastAsiaTheme="minorEastAsia"/>
          <w:noProof/>
          <w:lang w:val="en-GB" w:eastAsia="en-GB"/>
        </w:rPr>
      </w:pPr>
      <w:hyperlink w:anchor="_Toc369887006" w:history="1">
        <w:r w:rsidR="00F368DF" w:rsidRPr="00471AFA">
          <w:rPr>
            <w:rStyle w:val="Hyperlink"/>
            <w:noProof/>
          </w:rPr>
          <w:t>1.2.</w:t>
        </w:r>
        <w:r w:rsidR="00F368DF">
          <w:rPr>
            <w:rFonts w:eastAsiaTheme="minorEastAsia"/>
            <w:noProof/>
            <w:lang w:val="en-GB" w:eastAsia="en-GB"/>
          </w:rPr>
          <w:tab/>
        </w:r>
        <w:r w:rsidR="00F368DF" w:rsidRPr="00471AFA">
          <w:rPr>
            <w:rStyle w:val="Hyperlink"/>
            <w:noProof/>
          </w:rPr>
          <w:t>Breakdown of maritime economic activities at regional level (NUTS 1 or NUTS 2) and allocation to different sea-basins</w:t>
        </w:r>
        <w:r w:rsidR="00F368DF">
          <w:rPr>
            <w:noProof/>
            <w:webHidden/>
          </w:rPr>
          <w:tab/>
        </w:r>
        <w:r w:rsidR="00F368DF">
          <w:rPr>
            <w:noProof/>
            <w:webHidden/>
          </w:rPr>
          <w:fldChar w:fldCharType="begin"/>
        </w:r>
        <w:r w:rsidR="00F368DF">
          <w:rPr>
            <w:noProof/>
            <w:webHidden/>
          </w:rPr>
          <w:instrText xml:space="preserve"> PAGEREF _Toc369887006 \h </w:instrText>
        </w:r>
        <w:r w:rsidR="00F368DF">
          <w:rPr>
            <w:noProof/>
            <w:webHidden/>
          </w:rPr>
        </w:r>
        <w:r w:rsidR="00F368DF">
          <w:rPr>
            <w:noProof/>
            <w:webHidden/>
          </w:rPr>
          <w:fldChar w:fldCharType="separate"/>
        </w:r>
        <w:r w:rsidR="00F368DF">
          <w:rPr>
            <w:noProof/>
            <w:webHidden/>
          </w:rPr>
          <w:t>15</w:t>
        </w:r>
        <w:r w:rsidR="00F368DF">
          <w:rPr>
            <w:noProof/>
            <w:webHidden/>
          </w:rPr>
          <w:fldChar w:fldCharType="end"/>
        </w:r>
      </w:hyperlink>
    </w:p>
    <w:p w:rsidR="00F368DF" w:rsidRDefault="007C1627">
      <w:pPr>
        <w:pStyle w:val="TOC1"/>
        <w:rPr>
          <w:rFonts w:eastAsiaTheme="minorEastAsia"/>
          <w:b w:val="0"/>
          <w:noProof/>
          <w:color w:val="auto"/>
          <w:lang w:val="en-GB" w:eastAsia="en-GB"/>
        </w:rPr>
      </w:pPr>
      <w:hyperlink w:anchor="_Toc369887007" w:history="1">
        <w:r w:rsidR="00F368DF" w:rsidRPr="00471AFA">
          <w:rPr>
            <w:rStyle w:val="Hyperlink"/>
            <w:noProof/>
          </w:rPr>
          <w:t>2.</w:t>
        </w:r>
        <w:r w:rsidR="00F368DF">
          <w:rPr>
            <w:rFonts w:eastAsiaTheme="minorEastAsia"/>
            <w:b w:val="0"/>
            <w:noProof/>
            <w:color w:val="auto"/>
            <w:lang w:val="en-GB" w:eastAsia="en-GB"/>
          </w:rPr>
          <w:tab/>
        </w:r>
        <w:r w:rsidR="00F368DF" w:rsidRPr="00471AFA">
          <w:rPr>
            <w:rStyle w:val="Hyperlink"/>
            <w:noProof/>
          </w:rPr>
          <w:t>Listing of the 7 largest, fastest growing and most promising marine and maritime economic activities</w:t>
        </w:r>
        <w:r w:rsidR="00F368DF">
          <w:rPr>
            <w:noProof/>
            <w:webHidden/>
          </w:rPr>
          <w:tab/>
        </w:r>
        <w:r w:rsidR="00F368DF">
          <w:rPr>
            <w:noProof/>
            <w:webHidden/>
          </w:rPr>
          <w:fldChar w:fldCharType="begin"/>
        </w:r>
        <w:r w:rsidR="00F368DF">
          <w:rPr>
            <w:noProof/>
            <w:webHidden/>
          </w:rPr>
          <w:instrText xml:space="preserve"> PAGEREF _Toc369887007 \h </w:instrText>
        </w:r>
        <w:r w:rsidR="00F368DF">
          <w:rPr>
            <w:noProof/>
            <w:webHidden/>
          </w:rPr>
        </w:r>
        <w:r w:rsidR="00F368DF">
          <w:rPr>
            <w:noProof/>
            <w:webHidden/>
          </w:rPr>
          <w:fldChar w:fldCharType="separate"/>
        </w:r>
        <w:r w:rsidR="00F368DF">
          <w:rPr>
            <w:noProof/>
            <w:webHidden/>
          </w:rPr>
          <w:t>18</w:t>
        </w:r>
        <w:r w:rsidR="00F368DF">
          <w:rPr>
            <w:noProof/>
            <w:webHidden/>
          </w:rPr>
          <w:fldChar w:fldCharType="end"/>
        </w:r>
      </w:hyperlink>
    </w:p>
    <w:p w:rsidR="00F368DF" w:rsidRDefault="007C1627">
      <w:pPr>
        <w:pStyle w:val="TOC2"/>
        <w:rPr>
          <w:rFonts w:eastAsiaTheme="minorEastAsia"/>
          <w:noProof/>
          <w:lang w:val="en-GB" w:eastAsia="en-GB"/>
        </w:rPr>
      </w:pPr>
      <w:hyperlink w:anchor="_Toc369887008" w:history="1">
        <w:r w:rsidR="00F368DF" w:rsidRPr="00471AFA">
          <w:rPr>
            <w:rStyle w:val="Hyperlink"/>
            <w:noProof/>
          </w:rPr>
          <w:t>2.1.</w:t>
        </w:r>
        <w:r w:rsidR="00F368DF">
          <w:rPr>
            <w:rFonts w:eastAsiaTheme="minorEastAsia"/>
            <w:noProof/>
            <w:lang w:val="en-GB" w:eastAsia="en-GB"/>
          </w:rPr>
          <w:tab/>
        </w:r>
        <w:r w:rsidR="00F368DF" w:rsidRPr="00471AFA">
          <w:rPr>
            <w:rStyle w:val="Hyperlink"/>
            <w:noProof/>
          </w:rPr>
          <w:t>Listing and ranking the largest marine and maritime economic activities</w:t>
        </w:r>
        <w:r w:rsidR="00F368DF">
          <w:rPr>
            <w:noProof/>
            <w:webHidden/>
          </w:rPr>
          <w:tab/>
        </w:r>
        <w:r w:rsidR="00F368DF">
          <w:rPr>
            <w:noProof/>
            <w:webHidden/>
          </w:rPr>
          <w:fldChar w:fldCharType="begin"/>
        </w:r>
        <w:r w:rsidR="00F368DF">
          <w:rPr>
            <w:noProof/>
            <w:webHidden/>
          </w:rPr>
          <w:instrText xml:space="preserve"> PAGEREF _Toc369887008 \h </w:instrText>
        </w:r>
        <w:r w:rsidR="00F368DF">
          <w:rPr>
            <w:noProof/>
            <w:webHidden/>
          </w:rPr>
        </w:r>
        <w:r w:rsidR="00F368DF">
          <w:rPr>
            <w:noProof/>
            <w:webHidden/>
          </w:rPr>
          <w:fldChar w:fldCharType="separate"/>
        </w:r>
        <w:r w:rsidR="00F368DF">
          <w:rPr>
            <w:noProof/>
            <w:webHidden/>
          </w:rPr>
          <w:t>18</w:t>
        </w:r>
        <w:r w:rsidR="00F368DF">
          <w:rPr>
            <w:noProof/>
            <w:webHidden/>
          </w:rPr>
          <w:fldChar w:fldCharType="end"/>
        </w:r>
      </w:hyperlink>
    </w:p>
    <w:p w:rsidR="00F368DF" w:rsidRDefault="007C1627">
      <w:pPr>
        <w:pStyle w:val="TOC2"/>
        <w:rPr>
          <w:rFonts w:eastAsiaTheme="minorEastAsia"/>
          <w:noProof/>
          <w:lang w:val="en-GB" w:eastAsia="en-GB"/>
        </w:rPr>
      </w:pPr>
      <w:hyperlink w:anchor="_Toc369887009" w:history="1">
        <w:r w:rsidR="00F368DF" w:rsidRPr="00471AFA">
          <w:rPr>
            <w:rStyle w:val="Hyperlink"/>
            <w:noProof/>
          </w:rPr>
          <w:t>2.2.</w:t>
        </w:r>
        <w:r w:rsidR="00F368DF">
          <w:rPr>
            <w:rFonts w:eastAsiaTheme="minorEastAsia"/>
            <w:noProof/>
            <w:lang w:val="en-GB" w:eastAsia="en-GB"/>
          </w:rPr>
          <w:tab/>
        </w:r>
        <w:r w:rsidR="00F368DF" w:rsidRPr="00471AFA">
          <w:rPr>
            <w:rStyle w:val="Hyperlink"/>
            <w:noProof/>
          </w:rPr>
          <w:t>Ranking order for the 7 fastest growing marine and maritime economic activities over the 3 past years</w:t>
        </w:r>
        <w:r w:rsidR="00F368DF">
          <w:rPr>
            <w:noProof/>
            <w:webHidden/>
          </w:rPr>
          <w:tab/>
        </w:r>
        <w:r w:rsidR="00F368DF">
          <w:rPr>
            <w:noProof/>
            <w:webHidden/>
          </w:rPr>
          <w:fldChar w:fldCharType="begin"/>
        </w:r>
        <w:r w:rsidR="00F368DF">
          <w:rPr>
            <w:noProof/>
            <w:webHidden/>
          </w:rPr>
          <w:instrText xml:space="preserve"> PAGEREF _Toc369887009 \h </w:instrText>
        </w:r>
        <w:r w:rsidR="00F368DF">
          <w:rPr>
            <w:noProof/>
            <w:webHidden/>
          </w:rPr>
        </w:r>
        <w:r w:rsidR="00F368DF">
          <w:rPr>
            <w:noProof/>
            <w:webHidden/>
          </w:rPr>
          <w:fldChar w:fldCharType="separate"/>
        </w:r>
        <w:r w:rsidR="00F368DF">
          <w:rPr>
            <w:noProof/>
            <w:webHidden/>
          </w:rPr>
          <w:t>18</w:t>
        </w:r>
        <w:r w:rsidR="00F368DF">
          <w:rPr>
            <w:noProof/>
            <w:webHidden/>
          </w:rPr>
          <w:fldChar w:fldCharType="end"/>
        </w:r>
      </w:hyperlink>
    </w:p>
    <w:p w:rsidR="00F368DF" w:rsidRDefault="007C1627">
      <w:pPr>
        <w:pStyle w:val="TOC2"/>
        <w:rPr>
          <w:rFonts w:eastAsiaTheme="minorEastAsia"/>
          <w:noProof/>
          <w:lang w:val="en-GB" w:eastAsia="en-GB"/>
        </w:rPr>
      </w:pPr>
      <w:hyperlink w:anchor="_Toc369887010" w:history="1">
        <w:r w:rsidR="00F368DF" w:rsidRPr="00471AFA">
          <w:rPr>
            <w:rStyle w:val="Hyperlink"/>
            <w:noProof/>
          </w:rPr>
          <w:t>2.3.</w:t>
        </w:r>
        <w:r w:rsidR="00F368DF">
          <w:rPr>
            <w:rFonts w:eastAsiaTheme="minorEastAsia"/>
            <w:noProof/>
            <w:lang w:val="en-GB" w:eastAsia="en-GB"/>
          </w:rPr>
          <w:tab/>
        </w:r>
        <w:r w:rsidR="00F368DF" w:rsidRPr="00471AFA">
          <w:rPr>
            <w:rStyle w:val="Hyperlink"/>
            <w:noProof/>
          </w:rPr>
          <w:t>Ranking order of the 7 most promising marine and maritime economic activities</w:t>
        </w:r>
        <w:r w:rsidR="00F368DF">
          <w:rPr>
            <w:noProof/>
            <w:webHidden/>
          </w:rPr>
          <w:tab/>
        </w:r>
        <w:r w:rsidR="00F368DF">
          <w:rPr>
            <w:noProof/>
            <w:webHidden/>
          </w:rPr>
          <w:fldChar w:fldCharType="begin"/>
        </w:r>
        <w:r w:rsidR="00F368DF">
          <w:rPr>
            <w:noProof/>
            <w:webHidden/>
          </w:rPr>
          <w:instrText xml:space="preserve"> PAGEREF _Toc369887010 \h </w:instrText>
        </w:r>
        <w:r w:rsidR="00F368DF">
          <w:rPr>
            <w:noProof/>
            <w:webHidden/>
          </w:rPr>
        </w:r>
        <w:r w:rsidR="00F368DF">
          <w:rPr>
            <w:noProof/>
            <w:webHidden/>
          </w:rPr>
          <w:fldChar w:fldCharType="separate"/>
        </w:r>
        <w:r w:rsidR="00F368DF">
          <w:rPr>
            <w:noProof/>
            <w:webHidden/>
          </w:rPr>
          <w:t>19</w:t>
        </w:r>
        <w:r w:rsidR="00F368DF">
          <w:rPr>
            <w:noProof/>
            <w:webHidden/>
          </w:rPr>
          <w:fldChar w:fldCharType="end"/>
        </w:r>
      </w:hyperlink>
    </w:p>
    <w:p w:rsidR="00F368DF" w:rsidRDefault="007C1627">
      <w:pPr>
        <w:pStyle w:val="TOC1"/>
        <w:rPr>
          <w:rFonts w:eastAsiaTheme="minorEastAsia"/>
          <w:b w:val="0"/>
          <w:noProof/>
          <w:color w:val="auto"/>
          <w:lang w:val="en-GB" w:eastAsia="en-GB"/>
        </w:rPr>
      </w:pPr>
      <w:hyperlink w:anchor="_Toc369887011" w:history="1">
        <w:r w:rsidR="00F368DF" w:rsidRPr="00471AFA">
          <w:rPr>
            <w:rStyle w:val="Hyperlink"/>
            <w:noProof/>
          </w:rPr>
          <w:t>3.</w:t>
        </w:r>
        <w:r w:rsidR="00F368DF">
          <w:rPr>
            <w:rFonts w:eastAsiaTheme="minorEastAsia"/>
            <w:b w:val="0"/>
            <w:noProof/>
            <w:color w:val="auto"/>
            <w:lang w:val="en-GB" w:eastAsia="en-GB"/>
          </w:rPr>
          <w:tab/>
        </w:r>
        <w:r w:rsidR="00F368DF" w:rsidRPr="00471AFA">
          <w:rPr>
            <w:rStyle w:val="Hyperlink"/>
            <w:noProof/>
          </w:rPr>
          <w:t>Identification of the most innovative components of Blue Growth</w:t>
        </w:r>
        <w:r w:rsidR="00F368DF">
          <w:rPr>
            <w:noProof/>
            <w:webHidden/>
          </w:rPr>
          <w:tab/>
        </w:r>
        <w:r w:rsidR="00F368DF">
          <w:rPr>
            <w:noProof/>
            <w:webHidden/>
          </w:rPr>
          <w:fldChar w:fldCharType="begin"/>
        </w:r>
        <w:r w:rsidR="00F368DF">
          <w:rPr>
            <w:noProof/>
            <w:webHidden/>
          </w:rPr>
          <w:instrText xml:space="preserve"> PAGEREF _Toc369887011 \h </w:instrText>
        </w:r>
        <w:r w:rsidR="00F368DF">
          <w:rPr>
            <w:noProof/>
            <w:webHidden/>
          </w:rPr>
        </w:r>
        <w:r w:rsidR="00F368DF">
          <w:rPr>
            <w:noProof/>
            <w:webHidden/>
          </w:rPr>
          <w:fldChar w:fldCharType="separate"/>
        </w:r>
        <w:r w:rsidR="00F368DF">
          <w:rPr>
            <w:noProof/>
            <w:webHidden/>
          </w:rPr>
          <w:t>22</w:t>
        </w:r>
        <w:r w:rsidR="00F368DF">
          <w:rPr>
            <w:noProof/>
            <w:webHidden/>
          </w:rPr>
          <w:fldChar w:fldCharType="end"/>
        </w:r>
      </w:hyperlink>
    </w:p>
    <w:p w:rsidR="00F368DF" w:rsidRDefault="007C1627">
      <w:pPr>
        <w:pStyle w:val="TOC2"/>
        <w:rPr>
          <w:rFonts w:eastAsiaTheme="minorEastAsia"/>
          <w:noProof/>
          <w:lang w:val="en-GB" w:eastAsia="en-GB"/>
        </w:rPr>
      </w:pPr>
      <w:hyperlink w:anchor="_Toc369887012" w:history="1">
        <w:r w:rsidR="00F368DF" w:rsidRPr="00471AFA">
          <w:rPr>
            <w:rStyle w:val="Hyperlink"/>
            <w:rFonts w:eastAsiaTheme="majorEastAsia" w:cstheme="majorBidi"/>
            <w:bCs/>
            <w:noProof/>
            <w:lang w:val="en-GB"/>
          </w:rPr>
          <w:t>3.1.</w:t>
        </w:r>
        <w:r w:rsidR="00F368DF">
          <w:rPr>
            <w:rFonts w:eastAsiaTheme="minorEastAsia"/>
            <w:noProof/>
            <w:lang w:val="en-GB" w:eastAsia="en-GB"/>
          </w:rPr>
          <w:tab/>
        </w:r>
        <w:r w:rsidR="00F368DF" w:rsidRPr="00471AFA">
          <w:rPr>
            <w:rStyle w:val="Hyperlink"/>
            <w:rFonts w:eastAsiaTheme="majorEastAsia" w:cstheme="majorBidi"/>
            <w:bCs/>
            <w:noProof/>
            <w:lang w:val="en-GB"/>
          </w:rPr>
          <w:t>Innovation indicators the maritime economic activities / sectors</w:t>
        </w:r>
        <w:r w:rsidR="00F368DF">
          <w:rPr>
            <w:noProof/>
            <w:webHidden/>
          </w:rPr>
          <w:tab/>
        </w:r>
        <w:r w:rsidR="00F368DF">
          <w:rPr>
            <w:noProof/>
            <w:webHidden/>
          </w:rPr>
          <w:fldChar w:fldCharType="begin"/>
        </w:r>
        <w:r w:rsidR="00F368DF">
          <w:rPr>
            <w:noProof/>
            <w:webHidden/>
          </w:rPr>
          <w:instrText xml:space="preserve"> PAGEREF _Toc369887012 \h </w:instrText>
        </w:r>
        <w:r w:rsidR="00F368DF">
          <w:rPr>
            <w:noProof/>
            <w:webHidden/>
          </w:rPr>
        </w:r>
        <w:r w:rsidR="00F368DF">
          <w:rPr>
            <w:noProof/>
            <w:webHidden/>
          </w:rPr>
          <w:fldChar w:fldCharType="separate"/>
        </w:r>
        <w:r w:rsidR="00F368DF">
          <w:rPr>
            <w:noProof/>
            <w:webHidden/>
          </w:rPr>
          <w:t>22</w:t>
        </w:r>
        <w:r w:rsidR="00F368DF">
          <w:rPr>
            <w:noProof/>
            <w:webHidden/>
          </w:rPr>
          <w:fldChar w:fldCharType="end"/>
        </w:r>
      </w:hyperlink>
    </w:p>
    <w:p w:rsidR="00F368DF" w:rsidRDefault="007C1627">
      <w:pPr>
        <w:pStyle w:val="TOC2"/>
        <w:rPr>
          <w:rFonts w:eastAsiaTheme="minorEastAsia"/>
          <w:noProof/>
          <w:lang w:val="en-GB" w:eastAsia="en-GB"/>
        </w:rPr>
      </w:pPr>
      <w:hyperlink w:anchor="_Toc369887013" w:history="1">
        <w:r w:rsidR="00F368DF" w:rsidRPr="00471AFA">
          <w:rPr>
            <w:rStyle w:val="Hyperlink"/>
            <w:rFonts w:eastAsiaTheme="majorEastAsia" w:cstheme="majorBidi"/>
            <w:bCs/>
            <w:noProof/>
            <w:lang w:val="en-GB"/>
          </w:rPr>
          <w:t>3.2.</w:t>
        </w:r>
        <w:r w:rsidR="00F368DF">
          <w:rPr>
            <w:rFonts w:eastAsiaTheme="minorEastAsia"/>
            <w:noProof/>
            <w:lang w:val="en-GB" w:eastAsia="en-GB"/>
          </w:rPr>
          <w:tab/>
        </w:r>
        <w:r w:rsidR="00F368DF" w:rsidRPr="00471AFA">
          <w:rPr>
            <w:rStyle w:val="Hyperlink"/>
            <w:rFonts w:eastAsiaTheme="majorEastAsia" w:cstheme="majorBidi"/>
            <w:bCs/>
            <w:noProof/>
            <w:lang w:val="en-GB"/>
          </w:rPr>
          <w:t>Assessment of innovation reports compiled at national level</w:t>
        </w:r>
        <w:r w:rsidR="00F368DF">
          <w:rPr>
            <w:noProof/>
            <w:webHidden/>
          </w:rPr>
          <w:tab/>
        </w:r>
        <w:r w:rsidR="00F368DF">
          <w:rPr>
            <w:noProof/>
            <w:webHidden/>
          </w:rPr>
          <w:fldChar w:fldCharType="begin"/>
        </w:r>
        <w:r w:rsidR="00F368DF">
          <w:rPr>
            <w:noProof/>
            <w:webHidden/>
          </w:rPr>
          <w:instrText xml:space="preserve"> PAGEREF _Toc369887013 \h </w:instrText>
        </w:r>
        <w:r w:rsidR="00F368DF">
          <w:rPr>
            <w:noProof/>
            <w:webHidden/>
          </w:rPr>
        </w:r>
        <w:r w:rsidR="00F368DF">
          <w:rPr>
            <w:noProof/>
            <w:webHidden/>
          </w:rPr>
          <w:fldChar w:fldCharType="separate"/>
        </w:r>
        <w:r w:rsidR="00F368DF">
          <w:rPr>
            <w:noProof/>
            <w:webHidden/>
          </w:rPr>
          <w:t>22</w:t>
        </w:r>
        <w:r w:rsidR="00F368DF">
          <w:rPr>
            <w:noProof/>
            <w:webHidden/>
          </w:rPr>
          <w:fldChar w:fldCharType="end"/>
        </w:r>
      </w:hyperlink>
    </w:p>
    <w:p w:rsidR="00F368DF" w:rsidRDefault="007C1627">
      <w:pPr>
        <w:pStyle w:val="TOC1"/>
        <w:rPr>
          <w:rFonts w:eastAsiaTheme="minorEastAsia"/>
          <w:b w:val="0"/>
          <w:noProof/>
          <w:color w:val="auto"/>
          <w:lang w:val="en-GB" w:eastAsia="en-GB"/>
        </w:rPr>
      </w:pPr>
      <w:hyperlink w:anchor="_Toc369887014" w:history="1">
        <w:r w:rsidR="00F368DF" w:rsidRPr="00471AFA">
          <w:rPr>
            <w:rStyle w:val="Hyperlink"/>
            <w:noProof/>
          </w:rPr>
          <w:t>4.</w:t>
        </w:r>
        <w:r w:rsidR="00F368DF">
          <w:rPr>
            <w:rFonts w:eastAsiaTheme="minorEastAsia"/>
            <w:b w:val="0"/>
            <w:noProof/>
            <w:color w:val="auto"/>
            <w:lang w:val="en-GB" w:eastAsia="en-GB"/>
          </w:rPr>
          <w:tab/>
        </w:r>
        <w:r w:rsidR="00F368DF" w:rsidRPr="00471AFA">
          <w:rPr>
            <w:rStyle w:val="Hyperlink"/>
            <w:noProof/>
          </w:rPr>
          <w:t>Identification and analysis of maritime clusters</w:t>
        </w:r>
        <w:r w:rsidR="00F368DF">
          <w:rPr>
            <w:noProof/>
            <w:webHidden/>
          </w:rPr>
          <w:tab/>
        </w:r>
        <w:r w:rsidR="00F368DF">
          <w:rPr>
            <w:noProof/>
            <w:webHidden/>
          </w:rPr>
          <w:fldChar w:fldCharType="begin"/>
        </w:r>
        <w:r w:rsidR="00F368DF">
          <w:rPr>
            <w:noProof/>
            <w:webHidden/>
          </w:rPr>
          <w:instrText xml:space="preserve"> PAGEREF _Toc369887014 \h </w:instrText>
        </w:r>
        <w:r w:rsidR="00F368DF">
          <w:rPr>
            <w:noProof/>
            <w:webHidden/>
          </w:rPr>
        </w:r>
        <w:r w:rsidR="00F368DF">
          <w:rPr>
            <w:noProof/>
            <w:webHidden/>
          </w:rPr>
          <w:fldChar w:fldCharType="separate"/>
        </w:r>
        <w:r w:rsidR="00F368DF">
          <w:rPr>
            <w:noProof/>
            <w:webHidden/>
          </w:rPr>
          <w:t>23</w:t>
        </w:r>
        <w:r w:rsidR="00F368DF">
          <w:rPr>
            <w:noProof/>
            <w:webHidden/>
          </w:rPr>
          <w:fldChar w:fldCharType="end"/>
        </w:r>
      </w:hyperlink>
    </w:p>
    <w:p w:rsidR="00F368DF" w:rsidRDefault="007C1627">
      <w:pPr>
        <w:pStyle w:val="TOC2"/>
        <w:rPr>
          <w:rFonts w:eastAsiaTheme="minorEastAsia"/>
          <w:noProof/>
          <w:lang w:val="en-GB" w:eastAsia="en-GB"/>
        </w:rPr>
      </w:pPr>
      <w:hyperlink w:anchor="_Toc369887015" w:history="1">
        <w:r w:rsidR="00F368DF" w:rsidRPr="00471AFA">
          <w:rPr>
            <w:rStyle w:val="Hyperlink"/>
            <w:rFonts w:eastAsiaTheme="majorEastAsia" w:cstheme="majorBidi"/>
            <w:bCs/>
            <w:noProof/>
            <w:lang w:val="en-GB"/>
          </w:rPr>
          <w:t>4.1.</w:t>
        </w:r>
        <w:r w:rsidR="00F368DF">
          <w:rPr>
            <w:rFonts w:eastAsiaTheme="minorEastAsia"/>
            <w:noProof/>
            <w:lang w:val="en-GB" w:eastAsia="en-GB"/>
          </w:rPr>
          <w:tab/>
        </w:r>
        <w:r w:rsidR="00F368DF" w:rsidRPr="00471AFA">
          <w:rPr>
            <w:rStyle w:val="Hyperlink"/>
            <w:rFonts w:eastAsiaTheme="majorEastAsia" w:cstheme="majorBidi"/>
            <w:bCs/>
            <w:noProof/>
            <w:lang w:val="en-GB"/>
          </w:rPr>
          <w:t>Maritime clusters in France</w:t>
        </w:r>
        <w:r w:rsidR="00F368DF">
          <w:rPr>
            <w:noProof/>
            <w:webHidden/>
          </w:rPr>
          <w:tab/>
        </w:r>
        <w:r w:rsidR="00F368DF">
          <w:rPr>
            <w:noProof/>
            <w:webHidden/>
          </w:rPr>
          <w:fldChar w:fldCharType="begin"/>
        </w:r>
        <w:r w:rsidR="00F368DF">
          <w:rPr>
            <w:noProof/>
            <w:webHidden/>
          </w:rPr>
          <w:instrText xml:space="preserve"> PAGEREF _Toc369887015 \h </w:instrText>
        </w:r>
        <w:r w:rsidR="00F368DF">
          <w:rPr>
            <w:noProof/>
            <w:webHidden/>
          </w:rPr>
        </w:r>
        <w:r w:rsidR="00F368DF">
          <w:rPr>
            <w:noProof/>
            <w:webHidden/>
          </w:rPr>
          <w:fldChar w:fldCharType="separate"/>
        </w:r>
        <w:r w:rsidR="00F368DF">
          <w:rPr>
            <w:noProof/>
            <w:webHidden/>
          </w:rPr>
          <w:t>24</w:t>
        </w:r>
        <w:r w:rsidR="00F368DF">
          <w:rPr>
            <w:noProof/>
            <w:webHidden/>
          </w:rPr>
          <w:fldChar w:fldCharType="end"/>
        </w:r>
      </w:hyperlink>
    </w:p>
    <w:p w:rsidR="00F368DF" w:rsidRDefault="007C1627">
      <w:pPr>
        <w:pStyle w:val="TOC2"/>
        <w:rPr>
          <w:rFonts w:eastAsiaTheme="minorEastAsia"/>
          <w:noProof/>
          <w:lang w:val="en-GB" w:eastAsia="en-GB"/>
        </w:rPr>
      </w:pPr>
      <w:hyperlink w:anchor="_Toc369887016" w:history="1">
        <w:r w:rsidR="00F368DF" w:rsidRPr="00471AFA">
          <w:rPr>
            <w:rStyle w:val="Hyperlink"/>
            <w:rFonts w:eastAsiaTheme="majorEastAsia" w:cstheme="majorBidi"/>
            <w:bCs/>
            <w:noProof/>
            <w:lang w:val="en-GB"/>
          </w:rPr>
          <w:t>4.2.</w:t>
        </w:r>
        <w:r w:rsidR="00F368DF">
          <w:rPr>
            <w:rFonts w:eastAsiaTheme="minorEastAsia"/>
            <w:noProof/>
            <w:lang w:val="en-GB" w:eastAsia="en-GB"/>
          </w:rPr>
          <w:tab/>
        </w:r>
        <w:r w:rsidR="00F368DF" w:rsidRPr="00471AFA">
          <w:rPr>
            <w:rStyle w:val="Hyperlink"/>
            <w:rFonts w:eastAsiaTheme="majorEastAsia" w:cstheme="majorBidi"/>
            <w:bCs/>
            <w:noProof/>
            <w:lang w:val="en-GB"/>
          </w:rPr>
          <w:t>Cluster analysis</w:t>
        </w:r>
        <w:r w:rsidR="00F368DF">
          <w:rPr>
            <w:noProof/>
            <w:webHidden/>
          </w:rPr>
          <w:tab/>
        </w:r>
        <w:r w:rsidR="00F368DF">
          <w:rPr>
            <w:noProof/>
            <w:webHidden/>
          </w:rPr>
          <w:fldChar w:fldCharType="begin"/>
        </w:r>
        <w:r w:rsidR="00F368DF">
          <w:rPr>
            <w:noProof/>
            <w:webHidden/>
          </w:rPr>
          <w:instrText xml:space="preserve"> PAGEREF _Toc369887016 \h </w:instrText>
        </w:r>
        <w:r w:rsidR="00F368DF">
          <w:rPr>
            <w:noProof/>
            <w:webHidden/>
          </w:rPr>
        </w:r>
        <w:r w:rsidR="00F368DF">
          <w:rPr>
            <w:noProof/>
            <w:webHidden/>
          </w:rPr>
          <w:fldChar w:fldCharType="separate"/>
        </w:r>
        <w:r w:rsidR="00F368DF">
          <w:rPr>
            <w:noProof/>
            <w:webHidden/>
          </w:rPr>
          <w:t>24</w:t>
        </w:r>
        <w:r w:rsidR="00F368DF">
          <w:rPr>
            <w:noProof/>
            <w:webHidden/>
          </w:rPr>
          <w:fldChar w:fldCharType="end"/>
        </w:r>
      </w:hyperlink>
    </w:p>
    <w:p w:rsidR="00F368DF" w:rsidRDefault="007C1627">
      <w:pPr>
        <w:pStyle w:val="TOC1"/>
        <w:rPr>
          <w:rFonts w:eastAsiaTheme="minorEastAsia"/>
          <w:b w:val="0"/>
          <w:noProof/>
          <w:color w:val="auto"/>
          <w:lang w:val="en-GB" w:eastAsia="en-GB"/>
        </w:rPr>
      </w:pPr>
      <w:hyperlink w:anchor="_Toc369887017" w:history="1">
        <w:r w:rsidR="00F368DF" w:rsidRPr="00471AFA">
          <w:rPr>
            <w:rStyle w:val="Hyperlink"/>
            <w:noProof/>
          </w:rPr>
          <w:t>5.</w:t>
        </w:r>
        <w:r w:rsidR="00F368DF">
          <w:rPr>
            <w:rFonts w:eastAsiaTheme="minorEastAsia"/>
            <w:b w:val="0"/>
            <w:noProof/>
            <w:color w:val="auto"/>
            <w:lang w:val="en-GB" w:eastAsia="en-GB"/>
          </w:rPr>
          <w:tab/>
        </w:r>
        <w:r w:rsidR="00F368DF" w:rsidRPr="00471AFA">
          <w:rPr>
            <w:rStyle w:val="Hyperlink"/>
            <w:noProof/>
          </w:rPr>
          <w:t>Analysis of measures, policies and strategies to stimulate growth and good practices in the sea-basin</w:t>
        </w:r>
        <w:r w:rsidR="00F368DF">
          <w:rPr>
            <w:noProof/>
            <w:webHidden/>
          </w:rPr>
          <w:tab/>
        </w:r>
        <w:r w:rsidR="00F368DF">
          <w:rPr>
            <w:noProof/>
            <w:webHidden/>
          </w:rPr>
          <w:fldChar w:fldCharType="begin"/>
        </w:r>
        <w:r w:rsidR="00F368DF">
          <w:rPr>
            <w:noProof/>
            <w:webHidden/>
          </w:rPr>
          <w:instrText xml:space="preserve"> PAGEREF _Toc369887017 \h </w:instrText>
        </w:r>
        <w:r w:rsidR="00F368DF">
          <w:rPr>
            <w:noProof/>
            <w:webHidden/>
          </w:rPr>
        </w:r>
        <w:r w:rsidR="00F368DF">
          <w:rPr>
            <w:noProof/>
            <w:webHidden/>
          </w:rPr>
          <w:fldChar w:fldCharType="separate"/>
        </w:r>
        <w:r w:rsidR="00F368DF">
          <w:rPr>
            <w:noProof/>
            <w:webHidden/>
          </w:rPr>
          <w:t>34</w:t>
        </w:r>
        <w:r w:rsidR="00F368DF">
          <w:rPr>
            <w:noProof/>
            <w:webHidden/>
          </w:rPr>
          <w:fldChar w:fldCharType="end"/>
        </w:r>
      </w:hyperlink>
    </w:p>
    <w:p w:rsidR="00F368DF" w:rsidRDefault="007C1627">
      <w:pPr>
        <w:pStyle w:val="TOC1"/>
        <w:rPr>
          <w:rFonts w:eastAsiaTheme="minorEastAsia"/>
          <w:b w:val="0"/>
          <w:noProof/>
          <w:color w:val="auto"/>
          <w:lang w:val="en-GB" w:eastAsia="en-GB"/>
        </w:rPr>
      </w:pPr>
      <w:hyperlink w:anchor="_Toc369887018" w:history="1">
        <w:r w:rsidR="00F368DF" w:rsidRPr="00471AFA">
          <w:rPr>
            <w:rStyle w:val="Hyperlink"/>
            <w:noProof/>
          </w:rPr>
          <w:t>Annex I – Detailed description of the sources  on maritime economic activities</w:t>
        </w:r>
        <w:r w:rsidR="00F368DF">
          <w:rPr>
            <w:noProof/>
            <w:webHidden/>
          </w:rPr>
          <w:tab/>
        </w:r>
        <w:r w:rsidR="00F368DF">
          <w:rPr>
            <w:noProof/>
            <w:webHidden/>
          </w:rPr>
          <w:fldChar w:fldCharType="begin"/>
        </w:r>
        <w:r w:rsidR="00F368DF">
          <w:rPr>
            <w:noProof/>
            <w:webHidden/>
          </w:rPr>
          <w:instrText xml:space="preserve"> PAGEREF _Toc369887018 \h </w:instrText>
        </w:r>
        <w:r w:rsidR="00F368DF">
          <w:rPr>
            <w:noProof/>
            <w:webHidden/>
          </w:rPr>
        </w:r>
        <w:r w:rsidR="00F368DF">
          <w:rPr>
            <w:noProof/>
            <w:webHidden/>
          </w:rPr>
          <w:fldChar w:fldCharType="separate"/>
        </w:r>
        <w:r w:rsidR="00F368DF">
          <w:rPr>
            <w:noProof/>
            <w:webHidden/>
          </w:rPr>
          <w:t>38</w:t>
        </w:r>
        <w:r w:rsidR="00F368DF">
          <w:rPr>
            <w:noProof/>
            <w:webHidden/>
          </w:rPr>
          <w:fldChar w:fldCharType="end"/>
        </w:r>
      </w:hyperlink>
    </w:p>
    <w:p w:rsidR="00F368DF" w:rsidRDefault="007C1627">
      <w:pPr>
        <w:pStyle w:val="TOC1"/>
        <w:rPr>
          <w:rFonts w:eastAsiaTheme="minorEastAsia"/>
          <w:b w:val="0"/>
          <w:noProof/>
          <w:color w:val="auto"/>
          <w:lang w:val="en-GB" w:eastAsia="en-GB"/>
        </w:rPr>
      </w:pPr>
      <w:hyperlink w:anchor="_Toc369887019" w:history="1">
        <w:r w:rsidR="00F368DF" w:rsidRPr="00471AFA">
          <w:rPr>
            <w:rStyle w:val="Hyperlink"/>
            <w:noProof/>
          </w:rPr>
          <w:t>Annex II - Compound Annual Growth Rates (CAGR) of the maritime economic activities</w:t>
        </w:r>
        <w:r w:rsidR="00F368DF">
          <w:rPr>
            <w:noProof/>
            <w:webHidden/>
          </w:rPr>
          <w:tab/>
        </w:r>
        <w:r w:rsidR="00F368DF">
          <w:rPr>
            <w:noProof/>
            <w:webHidden/>
          </w:rPr>
          <w:fldChar w:fldCharType="begin"/>
        </w:r>
        <w:r w:rsidR="00F368DF">
          <w:rPr>
            <w:noProof/>
            <w:webHidden/>
          </w:rPr>
          <w:instrText xml:space="preserve"> PAGEREF _Toc369887019 \h </w:instrText>
        </w:r>
        <w:r w:rsidR="00F368DF">
          <w:rPr>
            <w:noProof/>
            <w:webHidden/>
          </w:rPr>
        </w:r>
        <w:r w:rsidR="00F368DF">
          <w:rPr>
            <w:noProof/>
            <w:webHidden/>
          </w:rPr>
          <w:fldChar w:fldCharType="separate"/>
        </w:r>
        <w:r w:rsidR="00F368DF">
          <w:rPr>
            <w:noProof/>
            <w:webHidden/>
          </w:rPr>
          <w:t>52</w:t>
        </w:r>
        <w:r w:rsidR="00F368DF">
          <w:rPr>
            <w:noProof/>
            <w:webHidden/>
          </w:rPr>
          <w:fldChar w:fldCharType="end"/>
        </w:r>
      </w:hyperlink>
    </w:p>
    <w:p w:rsidR="00864EAB" w:rsidRDefault="00B47E7C" w:rsidP="00864EAB">
      <w:pPr>
        <w:rPr>
          <w:rFonts w:asciiTheme="majorHAnsi" w:eastAsiaTheme="majorEastAsia" w:hAnsiTheme="majorHAnsi" w:cstheme="majorBidi"/>
          <w:color w:val="365F91" w:themeColor="accent1" w:themeShade="BF"/>
          <w:sz w:val="28"/>
          <w:szCs w:val="28"/>
          <w:lang w:val="en-GB"/>
        </w:rPr>
      </w:pPr>
      <w:r w:rsidRPr="000C0C93">
        <w:rPr>
          <w:lang w:val="en-GB"/>
        </w:rPr>
        <w:fldChar w:fldCharType="end"/>
      </w:r>
    </w:p>
    <w:p w:rsidR="00082B67" w:rsidRDefault="00082B67" w:rsidP="00082B67">
      <w:bookmarkStart w:id="3" w:name="_Toc354739369"/>
      <w:bookmarkStart w:id="4" w:name="_Toc354742393"/>
      <w:bookmarkStart w:id="5" w:name="_Toc354742601"/>
    </w:p>
    <w:p w:rsidR="003D46EA" w:rsidRDefault="003D46EA" w:rsidP="001B68AA">
      <w:pPr>
        <w:pStyle w:val="Heading1"/>
        <w:sectPr w:rsidR="003D46EA" w:rsidSect="000138C7">
          <w:footerReference w:type="default" r:id="rId13"/>
          <w:pgSz w:w="11906" w:h="16838"/>
          <w:pgMar w:top="1387" w:right="1134" w:bottom="1134" w:left="1134" w:header="284" w:footer="93" w:gutter="0"/>
          <w:pgNumType w:start="1"/>
          <w:cols w:space="708"/>
          <w:docGrid w:linePitch="360"/>
        </w:sectPr>
      </w:pPr>
    </w:p>
    <w:p w:rsidR="004045CC" w:rsidRPr="004045CC" w:rsidRDefault="004045CC" w:rsidP="001B68AA">
      <w:pPr>
        <w:pStyle w:val="Heading1"/>
      </w:pPr>
      <w:bookmarkStart w:id="6" w:name="_Toc369887002"/>
      <w:r w:rsidRPr="004045CC">
        <w:lastRenderedPageBreak/>
        <w:t>Preface</w:t>
      </w:r>
      <w:bookmarkEnd w:id="6"/>
    </w:p>
    <w:p w:rsidR="0014043F" w:rsidRDefault="0014043F" w:rsidP="003D46EA">
      <w:pPr>
        <w:spacing w:before="0" w:after="120"/>
        <w:rPr>
          <w:lang w:val="en-US"/>
        </w:rPr>
      </w:pPr>
    </w:p>
    <w:p w:rsidR="00F567B9" w:rsidRPr="00F567B9" w:rsidRDefault="00F567B9" w:rsidP="00F567B9">
      <w:pPr>
        <w:spacing w:before="0" w:after="120"/>
        <w:rPr>
          <w:lang w:val="en-US"/>
        </w:rPr>
      </w:pPr>
      <w:r w:rsidRPr="00F567B9">
        <w:rPr>
          <w:lang w:val="en-US"/>
        </w:rPr>
        <w:t xml:space="preserve">This country fiche forms part of the Atlantic Arc sea basin study. Parallel sea-basin studies are being carried out on the North-Sea and the English Channel and the Mediterranean, Adriatic and Ionian and Black Sea and the Baltic Sea. The data definitions and template are adapted in such a way that exchange between the different sea-basins is made possible. </w:t>
      </w:r>
    </w:p>
    <w:p w:rsidR="00F567B9" w:rsidRPr="00F567B9" w:rsidRDefault="00F567B9" w:rsidP="00F567B9">
      <w:pPr>
        <w:spacing w:before="0" w:after="120"/>
        <w:rPr>
          <w:lang w:val="en-US"/>
        </w:rPr>
      </w:pPr>
      <w:r w:rsidRPr="00F567B9">
        <w:rPr>
          <w:lang w:val="en-US"/>
        </w:rPr>
        <w:t xml:space="preserve">This country fiche contains all information that has been collected by the country editors. Results will be integrated in a seas basin report in which also a number of maritime economic activities are retained for in-depth analysis. This analysis and other analysis at a sea-basin level may provide further insights that can be incorporated in the country fiches at a later stage. </w:t>
      </w:r>
    </w:p>
    <w:p w:rsidR="00082B67" w:rsidRDefault="00F567B9" w:rsidP="00F567B9">
      <w:pPr>
        <w:spacing w:before="0" w:after="120"/>
        <w:rPr>
          <w:lang w:val="en-US"/>
        </w:rPr>
      </w:pPr>
      <w:r w:rsidRPr="00F567B9">
        <w:rPr>
          <w:lang w:val="en-US"/>
        </w:rPr>
        <w:t>Comments received up to date have been incorporated in the present draft. A final version will be prepared based on the last round of comments. This final version will also be designed and edited to provide an easily accessible document.</w:t>
      </w:r>
    </w:p>
    <w:p w:rsidR="000C2B01" w:rsidRDefault="000C2B01" w:rsidP="002A6405">
      <w:pPr>
        <w:rPr>
          <w:lang w:val="en-US"/>
        </w:rPr>
      </w:pPr>
    </w:p>
    <w:p w:rsidR="00082B67" w:rsidRDefault="00082B67" w:rsidP="00082B67">
      <w:pPr>
        <w:rPr>
          <w:lang w:val="en-GB"/>
        </w:rPr>
      </w:pPr>
    </w:p>
    <w:p w:rsidR="00082B67" w:rsidRDefault="00082B67">
      <w:pPr>
        <w:spacing w:before="0" w:after="120"/>
        <w:ind w:left="720" w:firstLine="697"/>
        <w:rPr>
          <w:lang w:val="en-GB"/>
        </w:rPr>
      </w:pPr>
      <w:r>
        <w:rPr>
          <w:lang w:val="en-GB"/>
        </w:rPr>
        <w:br w:type="page"/>
      </w:r>
    </w:p>
    <w:p w:rsidR="00864EAB" w:rsidRPr="000C0C93" w:rsidRDefault="00864EAB" w:rsidP="00FF2F7C">
      <w:pPr>
        <w:pStyle w:val="Heading1"/>
        <w:numPr>
          <w:ilvl w:val="0"/>
          <w:numId w:val="8"/>
        </w:numPr>
      </w:pPr>
      <w:bookmarkStart w:id="7" w:name="_Toc369887003"/>
      <w:r w:rsidRPr="000C0C93">
        <w:lastRenderedPageBreak/>
        <w:t>General overview</w:t>
      </w:r>
      <w:bookmarkEnd w:id="3"/>
      <w:bookmarkEnd w:id="4"/>
      <w:bookmarkEnd w:id="5"/>
      <w:bookmarkEnd w:id="7"/>
    </w:p>
    <w:p w:rsidR="00985C5B" w:rsidRDefault="00985C5B" w:rsidP="003D46EA">
      <w:pPr>
        <w:spacing w:before="0" w:after="120"/>
        <w:rPr>
          <w:lang w:val="en-GB"/>
        </w:rPr>
      </w:pPr>
      <w:r>
        <w:rPr>
          <w:lang w:val="en-GB"/>
        </w:rPr>
        <w:t>France has a population of almost 63 million inhabitants and scored as the world’s 5</w:t>
      </w:r>
      <w:r w:rsidRPr="001C70D0">
        <w:rPr>
          <w:vertAlign w:val="superscript"/>
          <w:lang w:val="en-GB"/>
        </w:rPr>
        <w:t>th</w:t>
      </w:r>
      <w:r>
        <w:rPr>
          <w:lang w:val="en-GB"/>
        </w:rPr>
        <w:t xml:space="preserve"> and Europe’s 2</w:t>
      </w:r>
      <w:r w:rsidRPr="001C70D0">
        <w:rPr>
          <w:vertAlign w:val="superscript"/>
          <w:lang w:val="en-GB"/>
        </w:rPr>
        <w:t>nd</w:t>
      </w:r>
      <w:r>
        <w:rPr>
          <w:lang w:val="en-GB"/>
        </w:rPr>
        <w:t xml:space="preserve"> largest national economy by GDP (2010). GDP per capita is 26.000 Euros. </w:t>
      </w:r>
      <w:r w:rsidRPr="000D693F">
        <w:rPr>
          <w:lang w:val="en-GB"/>
        </w:rPr>
        <w:t xml:space="preserve">France's economy entered </w:t>
      </w:r>
      <w:r>
        <w:rPr>
          <w:lang w:val="en-GB"/>
        </w:rPr>
        <w:t>a</w:t>
      </w:r>
      <w:r w:rsidRPr="000D693F">
        <w:rPr>
          <w:lang w:val="en-GB"/>
        </w:rPr>
        <w:t xml:space="preserve"> recession </w:t>
      </w:r>
      <w:r>
        <w:rPr>
          <w:lang w:val="en-GB"/>
        </w:rPr>
        <w:t>in</w:t>
      </w:r>
      <w:r w:rsidRPr="000D693F">
        <w:rPr>
          <w:lang w:val="en-GB"/>
        </w:rPr>
        <w:t xml:space="preserve"> the late 2000s</w:t>
      </w:r>
      <w:r>
        <w:rPr>
          <w:lang w:val="en-GB"/>
        </w:rPr>
        <w:t xml:space="preserve"> and since then annual GDP growth has fluctuated considerably: -0.1 in 2009, -3.1 in 2009 and 1.7 in 2010. </w:t>
      </w:r>
      <w:r w:rsidRPr="004A327D">
        <w:rPr>
          <w:lang w:val="en-GB"/>
        </w:rPr>
        <w:t>The unemployment rate increased from 7.4% in 2008 and has remained above 9% per year since then. Lower-than-expected growth and increased unemployment have strained France's public finances</w:t>
      </w:r>
    </w:p>
    <w:p w:rsidR="004A327D" w:rsidRDefault="004A327D" w:rsidP="004A327D">
      <w:pPr>
        <w:contextualSpacing/>
        <w:rPr>
          <w:lang w:val="en-GB"/>
        </w:rPr>
      </w:pPr>
    </w:p>
    <w:p w:rsidR="004A327D" w:rsidRDefault="009D0804" w:rsidP="004A327D">
      <w:pPr>
        <w:contextualSpacing/>
        <w:rPr>
          <w:lang w:val="en-GB"/>
        </w:rPr>
      </w:pPr>
      <w:r w:rsidRPr="001B68AA">
        <w:rPr>
          <w:b/>
          <w:noProof/>
          <w:lang w:val="en-GB" w:eastAsia="en-GB"/>
        </w:rPr>
        <w:drawing>
          <wp:inline distT="0" distB="0" distL="0" distR="0" wp14:anchorId="2CDFE5C9" wp14:editId="247F1063">
            <wp:extent cx="5560060" cy="48101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0060" cy="4810125"/>
                    </a:xfrm>
                    <a:prstGeom prst="rect">
                      <a:avLst/>
                    </a:prstGeom>
                    <a:noFill/>
                  </pic:spPr>
                </pic:pic>
              </a:graphicData>
            </a:graphic>
          </wp:inline>
        </w:drawing>
      </w:r>
    </w:p>
    <w:p w:rsidR="009D0804" w:rsidRPr="008744D6" w:rsidRDefault="001035D2" w:rsidP="004A327D">
      <w:pPr>
        <w:contextualSpacing/>
        <w:rPr>
          <w:b/>
          <w:sz w:val="18"/>
          <w:szCs w:val="18"/>
          <w:lang w:val="en-GB"/>
        </w:rPr>
      </w:pPr>
      <w:r w:rsidRPr="008744D6">
        <w:rPr>
          <w:b/>
          <w:sz w:val="18"/>
          <w:szCs w:val="18"/>
          <w:lang w:val="en-GB"/>
        </w:rPr>
        <w:t>Map 1: Coastal regions in the EU</w:t>
      </w:r>
      <w:r>
        <w:rPr>
          <w:b/>
          <w:sz w:val="18"/>
          <w:szCs w:val="18"/>
          <w:lang w:val="en-GB"/>
        </w:rPr>
        <w:t xml:space="preserve"> and in France</w:t>
      </w:r>
      <w:r w:rsidRPr="008744D6">
        <w:rPr>
          <w:b/>
          <w:sz w:val="18"/>
          <w:szCs w:val="18"/>
          <w:lang w:val="en-GB"/>
        </w:rPr>
        <w:t>, by sea basin and by NUTS 3 regions - Source: Eurostat</w:t>
      </w:r>
    </w:p>
    <w:p w:rsidR="001035D2" w:rsidRPr="008744D6" w:rsidRDefault="001035D2" w:rsidP="004A327D">
      <w:pPr>
        <w:contextualSpacing/>
        <w:rPr>
          <w:b/>
          <w:sz w:val="18"/>
          <w:szCs w:val="18"/>
          <w:lang w:val="en-GB"/>
        </w:rPr>
      </w:pPr>
    </w:p>
    <w:p w:rsidR="001035D2" w:rsidRDefault="001035D2" w:rsidP="004A327D">
      <w:pPr>
        <w:contextualSpacing/>
        <w:rPr>
          <w:b/>
          <w:lang w:val="en-GB"/>
        </w:rPr>
      </w:pPr>
    </w:p>
    <w:p w:rsidR="004E2A4F" w:rsidRDefault="00AD1BF4" w:rsidP="00334A29">
      <w:pPr>
        <w:spacing w:before="0" w:after="120"/>
        <w:rPr>
          <w:lang w:val="en-GB"/>
        </w:rPr>
      </w:pPr>
      <w:r>
        <w:rPr>
          <w:lang w:val="en-GB"/>
        </w:rPr>
        <w:t>France has 8411</w:t>
      </w:r>
      <w:r w:rsidR="00C370D0">
        <w:rPr>
          <w:lang w:val="en-GB"/>
        </w:rPr>
        <w:t xml:space="preserve"> km of coastline</w:t>
      </w:r>
      <w:r>
        <w:rPr>
          <w:rStyle w:val="FootnoteReference"/>
          <w:lang w:val="en-GB"/>
        </w:rPr>
        <w:footnoteReference w:id="1"/>
      </w:r>
      <w:r w:rsidR="00C370D0">
        <w:rPr>
          <w:lang w:val="en-GB"/>
        </w:rPr>
        <w:t xml:space="preserve"> </w:t>
      </w:r>
      <w:r>
        <w:rPr>
          <w:lang w:val="en-GB"/>
        </w:rPr>
        <w:t xml:space="preserve">. </w:t>
      </w:r>
      <w:r w:rsidR="00334A29">
        <w:rPr>
          <w:lang w:val="en-GB"/>
        </w:rPr>
        <w:t>When the overseas t</w:t>
      </w:r>
      <w:r w:rsidR="00334A29" w:rsidRPr="00334A29">
        <w:rPr>
          <w:lang w:val="en-GB"/>
        </w:rPr>
        <w:t>erritories are included its exclusive economic zone extends</w:t>
      </w:r>
      <w:r w:rsidR="00334A29">
        <w:rPr>
          <w:lang w:val="en-GB"/>
        </w:rPr>
        <w:t xml:space="preserve"> 1</w:t>
      </w:r>
      <w:r w:rsidR="00334A29" w:rsidRPr="00334A29">
        <w:rPr>
          <w:lang w:val="en-GB"/>
        </w:rPr>
        <w:t>1 million square kilometres, 400,000 square kilometres of which is continental shelf</w:t>
      </w:r>
      <w:r w:rsidR="00334A29">
        <w:rPr>
          <w:lang w:val="en-GB"/>
        </w:rPr>
        <w:t xml:space="preserve"> (</w:t>
      </w:r>
      <w:r w:rsidR="001826F3">
        <w:rPr>
          <w:lang w:val="en-GB"/>
        </w:rPr>
        <w:t>3.6%)</w:t>
      </w:r>
      <w:r w:rsidR="00C370D0">
        <w:rPr>
          <w:rStyle w:val="FootnoteReference"/>
          <w:lang w:val="en-GB"/>
        </w:rPr>
        <w:footnoteReference w:id="2"/>
      </w:r>
      <w:r w:rsidR="001035D2">
        <w:rPr>
          <w:lang w:val="en-GB"/>
        </w:rPr>
        <w:t>.</w:t>
      </w:r>
      <w:r w:rsidR="008744D6">
        <w:rPr>
          <w:lang w:val="en-GB"/>
        </w:rPr>
        <w:t xml:space="preserve"> </w:t>
      </w:r>
      <w:r w:rsidR="009128FE">
        <w:rPr>
          <w:lang w:val="en-GB"/>
        </w:rPr>
        <w:t xml:space="preserve">Thanks to its overseas departments and territories, France </w:t>
      </w:r>
      <w:r w:rsidR="00C370D0">
        <w:rPr>
          <w:lang w:val="en-GB"/>
        </w:rPr>
        <w:t>has</w:t>
      </w:r>
      <w:r w:rsidR="009128FE">
        <w:rPr>
          <w:lang w:val="en-GB"/>
        </w:rPr>
        <w:t xml:space="preserve"> the second larges</w:t>
      </w:r>
      <w:r w:rsidR="00C370D0">
        <w:rPr>
          <w:lang w:val="en-GB"/>
        </w:rPr>
        <w:t>t</w:t>
      </w:r>
      <w:r w:rsidR="009128FE">
        <w:rPr>
          <w:lang w:val="en-GB"/>
        </w:rPr>
        <w:t xml:space="preserve"> Exclusive Economic Zone</w:t>
      </w:r>
      <w:r w:rsidR="00C370D0">
        <w:rPr>
          <w:lang w:val="en-GB"/>
        </w:rPr>
        <w:t xml:space="preserve"> in the world</w:t>
      </w:r>
      <w:r w:rsidR="002A201F">
        <w:rPr>
          <w:rStyle w:val="FootnoteReference"/>
          <w:lang w:val="en-GB"/>
        </w:rPr>
        <w:footnoteReference w:id="3"/>
      </w:r>
      <w:r w:rsidR="002A201F">
        <w:rPr>
          <w:lang w:val="en-GB"/>
        </w:rPr>
        <w:t>.</w:t>
      </w:r>
      <w:r w:rsidR="009F3089">
        <w:rPr>
          <w:lang w:val="en-GB"/>
        </w:rPr>
        <w:t xml:space="preserve"> </w:t>
      </w:r>
    </w:p>
    <w:p w:rsidR="008F602C" w:rsidRPr="002F3903" w:rsidRDefault="008F602C" w:rsidP="00C370D0">
      <w:pPr>
        <w:spacing w:before="0" w:after="120"/>
        <w:rPr>
          <w:lang w:val="en-GB"/>
        </w:rPr>
      </w:pPr>
      <w:r>
        <w:rPr>
          <w:lang w:val="en-GB"/>
        </w:rPr>
        <w:lastRenderedPageBreak/>
        <w:t>France is linked to three sea-basins.</w:t>
      </w:r>
      <w:r w:rsidR="00062405">
        <w:rPr>
          <w:lang w:val="en-GB"/>
        </w:rPr>
        <w:t xml:space="preserve"> </w:t>
      </w:r>
      <w:r w:rsidR="00F602DD">
        <w:rPr>
          <w:lang w:val="en-GB"/>
        </w:rPr>
        <w:t xml:space="preserve">The major French socio-economic regions are presented at NUTS 1 level and linked to sea-basins: </w:t>
      </w:r>
      <w:r>
        <w:rPr>
          <w:lang w:val="en-GB"/>
        </w:rPr>
        <w:t>Nord Pas-de-Calais is allocated to the North Sea/English Channel, whereas the regions Bassin Parisien, Ouest and Su</w:t>
      </w:r>
      <w:r w:rsidR="00935D14">
        <w:rPr>
          <w:lang w:val="en-GB"/>
        </w:rPr>
        <w:t>d</w:t>
      </w:r>
      <w:r>
        <w:rPr>
          <w:lang w:val="en-GB"/>
        </w:rPr>
        <w:t xml:space="preserve">-Ouest are located on the Atlantic Sea Basin coast. </w:t>
      </w:r>
      <w:r w:rsidR="00AD1BF4">
        <w:rPr>
          <w:lang w:val="en-GB"/>
        </w:rPr>
        <w:t xml:space="preserve">As for the </w:t>
      </w:r>
      <w:r>
        <w:rPr>
          <w:lang w:val="en-GB"/>
        </w:rPr>
        <w:t>NUTS-1 Region Mediterannée</w:t>
      </w:r>
      <w:r w:rsidR="00AD1BF4">
        <w:rPr>
          <w:lang w:val="en-GB"/>
        </w:rPr>
        <w:t>, it</w:t>
      </w:r>
      <w:r w:rsidR="00062405">
        <w:rPr>
          <w:lang w:val="en-GB"/>
        </w:rPr>
        <w:t xml:space="preserve"> </w:t>
      </w:r>
      <w:r>
        <w:rPr>
          <w:lang w:val="en-GB"/>
        </w:rPr>
        <w:t xml:space="preserve">is allocated to the Mediterreanean sea basin. </w:t>
      </w:r>
      <w:r w:rsidR="008744D6">
        <w:rPr>
          <w:lang w:val="en-GB"/>
        </w:rPr>
        <w:t xml:space="preserve">Within these larger NUTS-1 regions, </w:t>
      </w:r>
      <w:r w:rsidR="00AD1BF4">
        <w:rPr>
          <w:lang w:val="en-GB"/>
        </w:rPr>
        <w:t xml:space="preserve">NUTS 2 level regions </w:t>
      </w:r>
      <w:r w:rsidR="008744D6">
        <w:rPr>
          <w:lang w:val="en-GB"/>
        </w:rPr>
        <w:t xml:space="preserve">can be discerned which </w:t>
      </w:r>
      <w:r w:rsidR="00AD1BF4">
        <w:rPr>
          <w:lang w:val="en-GB"/>
        </w:rPr>
        <w:t>correspond to the French administrative regions (</w:t>
      </w:r>
      <w:r>
        <w:rPr>
          <w:lang w:val="en-GB"/>
        </w:rPr>
        <w:t xml:space="preserve">see section 1.2 for more detail). </w:t>
      </w:r>
      <w:r w:rsidR="00D7331B">
        <w:rPr>
          <w:lang w:val="en-GB"/>
        </w:rPr>
        <w:t>The regions in the overseas territories are excluded from this study.</w:t>
      </w:r>
      <w:r w:rsidR="00D7331B" w:rsidRPr="002F3903">
        <w:rPr>
          <w:lang w:val="en-GB"/>
        </w:rPr>
        <w:t xml:space="preserve"> </w:t>
      </w:r>
      <w:r w:rsidR="00AD1BF4">
        <w:rPr>
          <w:lang w:val="en-GB"/>
        </w:rPr>
        <w:t xml:space="preserve">Finally, French administrative </w:t>
      </w:r>
      <w:r w:rsidR="00F602DD">
        <w:rPr>
          <w:lang w:val="en-GB"/>
        </w:rPr>
        <w:t>departments</w:t>
      </w:r>
      <w:r w:rsidR="00AD1BF4">
        <w:rPr>
          <w:lang w:val="en-GB"/>
        </w:rPr>
        <w:t xml:space="preserve"> (</w:t>
      </w:r>
      <w:r w:rsidR="00AD1BF4" w:rsidRPr="008744D6">
        <w:rPr>
          <w:i/>
          <w:lang w:val="en-GB"/>
        </w:rPr>
        <w:t>départements français</w:t>
      </w:r>
      <w:r w:rsidR="00AD1BF4">
        <w:rPr>
          <w:lang w:val="en-GB"/>
        </w:rPr>
        <w:t xml:space="preserve">) correspond to NUTS 3 regions. </w:t>
      </w:r>
    </w:p>
    <w:p w:rsidR="00F315F0" w:rsidRDefault="008F602C" w:rsidP="001826F3">
      <w:pPr>
        <w:spacing w:before="0" w:after="120"/>
        <w:rPr>
          <w:lang w:val="en-GB"/>
        </w:rPr>
      </w:pPr>
      <w:r>
        <w:rPr>
          <w:lang w:val="en-GB"/>
        </w:rPr>
        <w:t>Over one</w:t>
      </w:r>
      <w:r w:rsidR="00935D14">
        <w:rPr>
          <w:lang w:val="en-GB"/>
        </w:rPr>
        <w:t xml:space="preserve"> </w:t>
      </w:r>
      <w:r>
        <w:rPr>
          <w:lang w:val="en-GB"/>
        </w:rPr>
        <w:t>third</w:t>
      </w:r>
      <w:r>
        <w:rPr>
          <w:rStyle w:val="FootnoteReference"/>
          <w:lang w:val="en-GB"/>
        </w:rPr>
        <w:footnoteReference w:id="4"/>
      </w:r>
      <w:r>
        <w:rPr>
          <w:lang w:val="en-GB"/>
        </w:rPr>
        <w:t xml:space="preserve"> of the country’s population</w:t>
      </w:r>
      <w:r w:rsidR="001826F3">
        <w:rPr>
          <w:lang w:val="en-GB"/>
        </w:rPr>
        <w:t xml:space="preserve"> is </w:t>
      </w:r>
      <w:r>
        <w:rPr>
          <w:lang w:val="en-GB"/>
        </w:rPr>
        <w:t xml:space="preserve">living in coastal </w:t>
      </w:r>
      <w:r w:rsidR="00E47358">
        <w:rPr>
          <w:lang w:val="en-GB"/>
        </w:rPr>
        <w:t>regions</w:t>
      </w:r>
      <w:r w:rsidR="00E47358">
        <w:rPr>
          <w:rStyle w:val="FootnoteReference"/>
          <w:lang w:val="en-GB"/>
        </w:rPr>
        <w:footnoteReference w:id="5"/>
      </w:r>
      <w:r w:rsidR="001826F3">
        <w:rPr>
          <w:lang w:val="en-GB"/>
        </w:rPr>
        <w:t>. Eurostat</w:t>
      </w:r>
      <w:r w:rsidR="00D7331B">
        <w:rPr>
          <w:lang w:val="en-GB"/>
        </w:rPr>
        <w:t xml:space="preserve"> </w:t>
      </w:r>
      <w:r w:rsidR="00C92970">
        <w:rPr>
          <w:lang w:val="en-GB"/>
        </w:rPr>
        <w:t>report</w:t>
      </w:r>
      <w:r w:rsidR="00A4344A">
        <w:rPr>
          <w:lang w:val="en-GB"/>
        </w:rPr>
        <w:t xml:space="preserve">s that, in 2005, </w:t>
      </w:r>
      <w:r w:rsidR="001826F3" w:rsidRPr="001826F3">
        <w:rPr>
          <w:lang w:val="en-GB"/>
        </w:rPr>
        <w:t>37% o</w:t>
      </w:r>
      <w:r w:rsidR="00C92970">
        <w:rPr>
          <w:lang w:val="en-GB"/>
        </w:rPr>
        <w:t xml:space="preserve">f </w:t>
      </w:r>
      <w:r w:rsidR="00E47358">
        <w:rPr>
          <w:lang w:val="en-GB"/>
        </w:rPr>
        <w:t>France’s</w:t>
      </w:r>
      <w:r w:rsidR="00C92970">
        <w:rPr>
          <w:lang w:val="en-GB"/>
        </w:rPr>
        <w:t xml:space="preserve"> population – </w:t>
      </w:r>
      <w:r w:rsidR="001826F3" w:rsidRPr="001826F3">
        <w:rPr>
          <w:lang w:val="en-GB"/>
        </w:rPr>
        <w:t>23.9 million people - lived in coastal regions</w:t>
      </w:r>
      <w:r w:rsidR="00C92970">
        <w:rPr>
          <w:rStyle w:val="FootnoteReference"/>
          <w:lang w:val="en-GB"/>
        </w:rPr>
        <w:footnoteReference w:id="6"/>
      </w:r>
      <w:r w:rsidR="00C92970">
        <w:rPr>
          <w:lang w:val="en-GB"/>
        </w:rPr>
        <w:t>.</w:t>
      </w:r>
      <w:r w:rsidR="00E47358">
        <w:rPr>
          <w:lang w:val="en-GB"/>
        </w:rPr>
        <w:t xml:space="preserve">The average population density </w:t>
      </w:r>
      <w:r w:rsidR="00635BE3">
        <w:rPr>
          <w:lang w:val="en-GB"/>
        </w:rPr>
        <w:t>was</w:t>
      </w:r>
      <w:r w:rsidR="00E47358">
        <w:rPr>
          <w:lang w:val="en-GB"/>
        </w:rPr>
        <w:t xml:space="preserve"> 108 </w:t>
      </w:r>
      <w:r w:rsidR="00F55A65">
        <w:rPr>
          <w:lang w:val="en-GB"/>
        </w:rPr>
        <w:t>in</w:t>
      </w:r>
      <w:r w:rsidR="00D7331B">
        <w:rPr>
          <w:lang w:val="en-GB"/>
        </w:rPr>
        <w:t>hab/</w:t>
      </w:r>
      <w:r w:rsidR="00072A56">
        <w:rPr>
          <w:lang w:val="en-GB"/>
        </w:rPr>
        <w:t>square km</w:t>
      </w:r>
      <w:r w:rsidR="00F51AA9">
        <w:rPr>
          <w:rStyle w:val="FootnoteReference"/>
          <w:lang w:val="en-GB"/>
        </w:rPr>
        <w:footnoteReference w:id="7"/>
      </w:r>
      <w:r w:rsidR="00D7331B">
        <w:rPr>
          <w:lang w:val="en-GB"/>
        </w:rPr>
        <w:t xml:space="preserve">. </w:t>
      </w:r>
      <w:r w:rsidR="00635BE3">
        <w:rPr>
          <w:lang w:val="en-GB"/>
        </w:rPr>
        <w:t>In the same year, s</w:t>
      </w:r>
      <w:r w:rsidR="00D7331B">
        <w:rPr>
          <w:lang w:val="en-GB"/>
        </w:rPr>
        <w:t>ome 33</w:t>
      </w:r>
      <w:r w:rsidRPr="008F602C">
        <w:rPr>
          <w:lang w:val="en-GB"/>
        </w:rPr>
        <w:t>% of the French gross added value was produced in</w:t>
      </w:r>
      <w:r w:rsidR="00D7331B">
        <w:rPr>
          <w:lang w:val="en-GB"/>
        </w:rPr>
        <w:t xml:space="preserve"> </w:t>
      </w:r>
      <w:r w:rsidR="00935D14">
        <w:rPr>
          <w:lang w:val="en-GB"/>
        </w:rPr>
        <w:t>these coastal regions</w:t>
      </w:r>
      <w:r w:rsidR="00635BE3">
        <w:rPr>
          <w:rStyle w:val="FootnoteReference"/>
          <w:lang w:val="en-GB"/>
        </w:rPr>
        <w:footnoteReference w:id="8"/>
      </w:r>
      <w:r w:rsidR="001826F3">
        <w:rPr>
          <w:lang w:val="en-GB"/>
        </w:rPr>
        <w:t>.</w:t>
      </w:r>
      <w:r w:rsidR="008226B4">
        <w:rPr>
          <w:lang w:val="en-GB"/>
        </w:rPr>
        <w:t xml:space="preserve"> </w:t>
      </w:r>
      <w:r w:rsidR="00C1292F">
        <w:rPr>
          <w:lang w:val="en-GB"/>
        </w:rPr>
        <w:t xml:space="preserve">National French data provide us with information on the population living in coastal communities, which are </w:t>
      </w:r>
      <w:r w:rsidR="00BB10B6">
        <w:rPr>
          <w:lang w:val="en-GB"/>
        </w:rPr>
        <w:t>intended</w:t>
      </w:r>
      <w:r w:rsidR="00C1292F">
        <w:rPr>
          <w:lang w:val="en-GB"/>
        </w:rPr>
        <w:t xml:space="preserve"> as </w:t>
      </w:r>
      <w:r w:rsidR="00C1292F" w:rsidRPr="00C1292F">
        <w:rPr>
          <w:lang w:val="en-GB"/>
        </w:rPr>
        <w:t>towns bordering the ocean, lagoons or estuaries at the transverse limit of the sea</w:t>
      </w:r>
      <w:r w:rsidR="00C1292F">
        <w:rPr>
          <w:rStyle w:val="FootnoteReference"/>
          <w:lang w:val="en-GB"/>
        </w:rPr>
        <w:footnoteReference w:id="9"/>
      </w:r>
      <w:r w:rsidR="00C1292F" w:rsidRPr="00C1292F">
        <w:rPr>
          <w:lang w:val="en-GB"/>
        </w:rPr>
        <w:t>.</w:t>
      </w:r>
      <w:r w:rsidR="00C1292F">
        <w:rPr>
          <w:lang w:val="en-GB"/>
        </w:rPr>
        <w:t xml:space="preserve"> Following this definition, France’s statistical institute Insee reports that, in 2005, around 5.7 million people </w:t>
      </w:r>
      <w:r w:rsidR="00072A56">
        <w:rPr>
          <w:lang w:val="en-GB"/>
        </w:rPr>
        <w:t>lived in coastal communities, with an average population density of 315 inhab/square km</w:t>
      </w:r>
      <w:r w:rsidR="00663C1E">
        <w:rPr>
          <w:rStyle w:val="FootnoteReference"/>
          <w:lang w:val="en-GB"/>
        </w:rPr>
        <w:footnoteReference w:id="10"/>
      </w:r>
      <w:r w:rsidR="00072A56">
        <w:rPr>
          <w:lang w:val="en-GB"/>
        </w:rPr>
        <w:t>.</w:t>
      </w:r>
      <w:r w:rsidR="00663C1E">
        <w:rPr>
          <w:lang w:val="en-GB"/>
        </w:rPr>
        <w:t xml:space="preserve"> </w:t>
      </w:r>
    </w:p>
    <w:p w:rsidR="00655FF4" w:rsidRDefault="004227D0" w:rsidP="003D46EA">
      <w:pPr>
        <w:spacing w:before="0" w:after="120"/>
        <w:rPr>
          <w:lang w:val="en-GB"/>
        </w:rPr>
      </w:pPr>
      <w:r>
        <w:rPr>
          <w:lang w:val="en-GB"/>
        </w:rPr>
        <w:t>M</w:t>
      </w:r>
      <w:r w:rsidR="00D7331B">
        <w:rPr>
          <w:lang w:val="en-GB"/>
        </w:rPr>
        <w:t xml:space="preserve">ajor </w:t>
      </w:r>
      <w:r w:rsidR="00006F2A" w:rsidRPr="00006F2A">
        <w:rPr>
          <w:lang w:val="en-GB"/>
        </w:rPr>
        <w:t>economic activities are related to the proximity of the water</w:t>
      </w:r>
      <w:r>
        <w:rPr>
          <w:lang w:val="en-GB"/>
        </w:rPr>
        <w:t xml:space="preserve">, </w:t>
      </w:r>
      <w:r w:rsidR="00D7331B">
        <w:rPr>
          <w:lang w:val="en-GB"/>
        </w:rPr>
        <w:t xml:space="preserve">including </w:t>
      </w:r>
      <w:r w:rsidR="00006F2A" w:rsidRPr="00006F2A">
        <w:rPr>
          <w:lang w:val="en-GB"/>
        </w:rPr>
        <w:t xml:space="preserve">fishing, </w:t>
      </w:r>
      <w:r w:rsidR="00D7331B">
        <w:rPr>
          <w:lang w:val="en-GB"/>
        </w:rPr>
        <w:t>shipbuilding</w:t>
      </w:r>
      <w:r w:rsidR="00006F2A" w:rsidRPr="00006F2A">
        <w:rPr>
          <w:lang w:val="en-GB"/>
        </w:rPr>
        <w:t>,</w:t>
      </w:r>
      <w:r w:rsidR="00D7331B">
        <w:rPr>
          <w:lang w:val="en-GB"/>
        </w:rPr>
        <w:t xml:space="preserve"> coastal tourism</w:t>
      </w:r>
      <w:r>
        <w:rPr>
          <w:lang w:val="en-GB"/>
        </w:rPr>
        <w:t xml:space="preserve"> </w:t>
      </w:r>
      <w:r w:rsidR="00935D14" w:rsidRPr="00006F2A">
        <w:rPr>
          <w:lang w:val="en-GB"/>
        </w:rPr>
        <w:t>and port</w:t>
      </w:r>
      <w:r w:rsidR="00006F2A" w:rsidRPr="00006F2A">
        <w:rPr>
          <w:lang w:val="en-GB"/>
        </w:rPr>
        <w:t xml:space="preserve"> or shipping activities.</w:t>
      </w:r>
      <w:r w:rsidR="00D7331B">
        <w:rPr>
          <w:lang w:val="en-GB"/>
        </w:rPr>
        <w:t xml:space="preserve"> </w:t>
      </w:r>
      <w:r w:rsidR="008104BB">
        <w:rPr>
          <w:lang w:val="en-GB"/>
        </w:rPr>
        <w:t>A 2007 stu</w:t>
      </w:r>
      <w:r w:rsidR="00795ADB">
        <w:rPr>
          <w:lang w:val="en-GB"/>
        </w:rPr>
        <w:t>dy indicated that, of these, coastal tourism was the most important, represent</w:t>
      </w:r>
      <w:r w:rsidR="008104BB">
        <w:rPr>
          <w:lang w:val="en-GB"/>
        </w:rPr>
        <w:t>ing 40% of the maritime economy</w:t>
      </w:r>
      <w:r w:rsidR="00655FF4">
        <w:rPr>
          <w:rStyle w:val="FootnoteReference"/>
          <w:lang w:val="en-GB"/>
        </w:rPr>
        <w:footnoteReference w:id="11"/>
      </w:r>
      <w:r w:rsidR="00655FF4">
        <w:rPr>
          <w:lang w:val="en-GB"/>
        </w:rPr>
        <w:t xml:space="preserve">. </w:t>
      </w:r>
    </w:p>
    <w:p w:rsidR="00006F2A" w:rsidRPr="00006F2A" w:rsidRDefault="00D7331B" w:rsidP="00006F2A">
      <w:pPr>
        <w:contextualSpacing/>
        <w:rPr>
          <w:lang w:val="en-GB"/>
        </w:rPr>
      </w:pPr>
      <w:r>
        <w:rPr>
          <w:lang w:val="en-GB"/>
        </w:rPr>
        <w:t>When characterizing the different coastal regions by sea basins the following picture can be sketched</w:t>
      </w:r>
      <w:r w:rsidR="00655FF4">
        <w:rPr>
          <w:rStyle w:val="FootnoteReference"/>
          <w:lang w:val="en-GB"/>
        </w:rPr>
        <w:footnoteReference w:id="12"/>
      </w:r>
      <w:r>
        <w:rPr>
          <w:lang w:val="en-GB"/>
        </w:rPr>
        <w:t>:</w:t>
      </w:r>
      <w:r w:rsidR="00006F2A" w:rsidRPr="00006F2A">
        <w:rPr>
          <w:lang w:val="en-GB"/>
        </w:rPr>
        <w:t xml:space="preserve"> </w:t>
      </w:r>
    </w:p>
    <w:p w:rsidR="00006F2A" w:rsidRPr="00006F2A" w:rsidRDefault="00006F2A" w:rsidP="003D46EA">
      <w:pPr>
        <w:spacing w:before="0" w:after="120"/>
        <w:rPr>
          <w:lang w:val="en-GB"/>
        </w:rPr>
      </w:pPr>
      <w:r w:rsidRPr="00006F2A">
        <w:rPr>
          <w:lang w:val="en-GB"/>
        </w:rPr>
        <w:t xml:space="preserve">The </w:t>
      </w:r>
      <w:r w:rsidRPr="00D7331B">
        <w:rPr>
          <w:b/>
          <w:lang w:val="en-GB"/>
        </w:rPr>
        <w:t>Channel - North Sea</w:t>
      </w:r>
      <w:r w:rsidRPr="00006F2A">
        <w:rPr>
          <w:lang w:val="en-GB"/>
        </w:rPr>
        <w:t xml:space="preserve"> is important for jobs related to port activities (shipping, stevedoring, sea and river port services) focus</w:t>
      </w:r>
      <w:r w:rsidR="00D7331B">
        <w:rPr>
          <w:lang w:val="en-GB"/>
        </w:rPr>
        <w:t>ing</w:t>
      </w:r>
      <w:r w:rsidRPr="00006F2A">
        <w:rPr>
          <w:lang w:val="en-GB"/>
        </w:rPr>
        <w:t xml:space="preserve"> on the main port areas: Le Havre, Rouen, Dunkerque, Calais. The fish industry is also quite important.</w:t>
      </w:r>
      <w:r w:rsidR="00D7331B">
        <w:rPr>
          <w:lang w:val="en-GB"/>
        </w:rPr>
        <w:t xml:space="preserve"> </w:t>
      </w:r>
    </w:p>
    <w:p w:rsidR="00D7331B" w:rsidRDefault="00D7331B" w:rsidP="00006F2A">
      <w:pPr>
        <w:contextualSpacing/>
        <w:rPr>
          <w:lang w:val="en-GB"/>
        </w:rPr>
      </w:pPr>
      <w:r>
        <w:rPr>
          <w:lang w:val="en-GB"/>
        </w:rPr>
        <w:t xml:space="preserve">The </w:t>
      </w:r>
      <w:r w:rsidRPr="00D7331B">
        <w:rPr>
          <w:b/>
          <w:lang w:val="en-GB"/>
        </w:rPr>
        <w:t>Atlantic coast</w:t>
      </w:r>
      <w:r>
        <w:rPr>
          <w:lang w:val="en-GB"/>
        </w:rPr>
        <w:t xml:space="preserve"> is characterized by a strong presence of </w:t>
      </w:r>
      <w:r w:rsidRPr="00D7331B">
        <w:rPr>
          <w:lang w:val="en-GB"/>
        </w:rPr>
        <w:t>fishing, fish farming / aquaculture, construction of civilian ships and boats. These areas of shipbuilding focus respectively in Loire-Atlantique and Vendée.</w:t>
      </w:r>
      <w:r>
        <w:rPr>
          <w:lang w:val="en-GB"/>
        </w:rPr>
        <w:t xml:space="preserve"> Obviously also coastal tourism is an important sector in this regions especially further to the south.</w:t>
      </w:r>
    </w:p>
    <w:p w:rsidR="00D7331B" w:rsidRDefault="00D7331B" w:rsidP="003D46EA">
      <w:pPr>
        <w:spacing w:before="0" w:after="120"/>
        <w:rPr>
          <w:lang w:val="en-GB"/>
        </w:rPr>
      </w:pPr>
      <w:r>
        <w:rPr>
          <w:lang w:val="en-GB"/>
        </w:rPr>
        <w:t>Finally, apart from its major position in tourism t</w:t>
      </w:r>
      <w:r w:rsidRPr="00D7331B">
        <w:rPr>
          <w:lang w:val="en-GB"/>
        </w:rPr>
        <w:t xml:space="preserve">he </w:t>
      </w:r>
      <w:r w:rsidRPr="00D7331B">
        <w:rPr>
          <w:b/>
          <w:lang w:val="en-GB"/>
        </w:rPr>
        <w:t>Mediterranean coast</w:t>
      </w:r>
      <w:r w:rsidRPr="00D7331B">
        <w:rPr>
          <w:lang w:val="en-GB"/>
        </w:rPr>
        <w:t xml:space="preserve"> focuses an important part of</w:t>
      </w:r>
      <w:r>
        <w:rPr>
          <w:lang w:val="en-GB"/>
        </w:rPr>
        <w:t xml:space="preserve"> its</w:t>
      </w:r>
      <w:r w:rsidRPr="00D7331B">
        <w:rPr>
          <w:lang w:val="en-GB"/>
        </w:rPr>
        <w:t xml:space="preserve"> employment in the production of salt (Camargue), the construction of </w:t>
      </w:r>
      <w:r>
        <w:rPr>
          <w:lang w:val="en-GB"/>
        </w:rPr>
        <w:t xml:space="preserve">naval </w:t>
      </w:r>
      <w:r w:rsidRPr="00D7331B">
        <w:rPr>
          <w:lang w:val="en-GB"/>
        </w:rPr>
        <w:t>ships, ship repair and marine and coastal transport.</w:t>
      </w:r>
    </w:p>
    <w:p w:rsidR="00655FF4" w:rsidRDefault="00655FF4">
      <w:pPr>
        <w:spacing w:before="0" w:after="120"/>
        <w:ind w:left="720" w:firstLine="697"/>
        <w:rPr>
          <w:rFonts w:eastAsiaTheme="majorEastAsia" w:cstheme="majorBidi"/>
          <w:b/>
          <w:bCs/>
          <w:color w:val="365F91" w:themeColor="accent1" w:themeShade="BF"/>
          <w:sz w:val="32"/>
          <w:szCs w:val="32"/>
          <w:lang w:val="en-GB"/>
        </w:rPr>
      </w:pPr>
      <w:bookmarkStart w:id="8" w:name="_Toc354739370"/>
      <w:bookmarkStart w:id="9" w:name="_Toc354742394"/>
      <w:bookmarkStart w:id="10" w:name="_Toc354742602"/>
      <w:r w:rsidRPr="0007453F">
        <w:rPr>
          <w:lang w:val="en-GB"/>
        </w:rPr>
        <w:br w:type="page"/>
      </w:r>
    </w:p>
    <w:p w:rsidR="00864EAB" w:rsidRPr="000C0C93" w:rsidRDefault="00864EAB" w:rsidP="00FF2F7C">
      <w:pPr>
        <w:pStyle w:val="Heading1"/>
        <w:numPr>
          <w:ilvl w:val="0"/>
          <w:numId w:val="8"/>
        </w:numPr>
      </w:pPr>
      <w:bookmarkStart w:id="11" w:name="_Toc369887004"/>
      <w:r w:rsidRPr="000C0C93">
        <w:lastRenderedPageBreak/>
        <w:t xml:space="preserve">Marine and maritime economic </w:t>
      </w:r>
      <w:bookmarkEnd w:id="8"/>
      <w:bookmarkEnd w:id="9"/>
      <w:bookmarkEnd w:id="10"/>
      <w:r w:rsidR="0035105C">
        <w:t>activities</w:t>
      </w:r>
      <w:bookmarkEnd w:id="11"/>
    </w:p>
    <w:p w:rsidR="00803775" w:rsidRPr="00233443" w:rsidRDefault="00803775" w:rsidP="00FF2F7C">
      <w:pPr>
        <w:pStyle w:val="Heading2"/>
        <w:numPr>
          <w:ilvl w:val="1"/>
          <w:numId w:val="8"/>
        </w:numPr>
      </w:pPr>
      <w:bookmarkStart w:id="12" w:name="_Toc369887005"/>
      <w:r w:rsidRPr="00233443">
        <w:t xml:space="preserve">Overview of relevant maritime economic activities in </w:t>
      </w:r>
      <w:r w:rsidR="00663C1E">
        <w:t>France</w:t>
      </w:r>
      <w:bookmarkEnd w:id="12"/>
    </w:p>
    <w:p w:rsidR="00655FF4" w:rsidRDefault="005A155E" w:rsidP="009F4946">
      <w:pPr>
        <w:rPr>
          <w:lang w:val="en-GB"/>
        </w:rPr>
      </w:pPr>
      <w:r>
        <w:rPr>
          <w:lang w:val="en-GB"/>
        </w:rPr>
        <w:t>T</w:t>
      </w:r>
      <w:r w:rsidR="00864EAB" w:rsidRPr="00A53C1F">
        <w:rPr>
          <w:lang w:val="en-GB"/>
        </w:rPr>
        <w:t xml:space="preserve">his section </w:t>
      </w:r>
      <w:r>
        <w:rPr>
          <w:lang w:val="en-GB"/>
        </w:rPr>
        <w:t>provides an</w:t>
      </w:r>
      <w:r w:rsidR="00864EAB" w:rsidRPr="00A53C1F">
        <w:rPr>
          <w:lang w:val="en-GB"/>
        </w:rPr>
        <w:t xml:space="preserve"> overview of the main </w:t>
      </w:r>
      <w:r>
        <w:rPr>
          <w:lang w:val="en-GB"/>
        </w:rPr>
        <w:t xml:space="preserve">maritime activities and their related </w:t>
      </w:r>
      <w:r w:rsidR="00864EAB" w:rsidRPr="00A53C1F">
        <w:rPr>
          <w:lang w:val="en-GB"/>
        </w:rPr>
        <w:t xml:space="preserve">socio-economic </w:t>
      </w:r>
      <w:r w:rsidR="0046658E">
        <w:rPr>
          <w:lang w:val="en-GB"/>
        </w:rPr>
        <w:t xml:space="preserve">impacts in </w:t>
      </w:r>
      <w:r w:rsidR="00795ADB" w:rsidRPr="00062405">
        <w:rPr>
          <w:b/>
          <w:lang w:val="en-GB"/>
        </w:rPr>
        <w:t>France</w:t>
      </w:r>
      <w:r w:rsidR="00215C3D">
        <w:rPr>
          <w:rStyle w:val="FootnoteReference"/>
          <w:b/>
          <w:lang w:val="en-GB"/>
        </w:rPr>
        <w:footnoteReference w:id="13"/>
      </w:r>
      <w:r w:rsidR="00062405">
        <w:rPr>
          <w:b/>
          <w:lang w:val="en-GB"/>
        </w:rPr>
        <w:t>.</w:t>
      </w:r>
      <w:r w:rsidR="0046658E">
        <w:rPr>
          <w:b/>
          <w:lang w:val="en-GB"/>
        </w:rPr>
        <w:t xml:space="preserve"> </w:t>
      </w:r>
      <w:r w:rsidR="0046658E" w:rsidRPr="0046658E">
        <w:rPr>
          <w:lang w:val="en-GB"/>
        </w:rPr>
        <w:t xml:space="preserve">These </w:t>
      </w:r>
      <w:r w:rsidR="00A66893">
        <w:rPr>
          <w:lang w:val="en-GB"/>
        </w:rPr>
        <w:t>economic activities</w:t>
      </w:r>
      <w:r w:rsidR="00864EAB">
        <w:rPr>
          <w:b/>
          <w:lang w:val="en-GB"/>
        </w:rPr>
        <w:t xml:space="preserve"> </w:t>
      </w:r>
      <w:r w:rsidR="00751082">
        <w:rPr>
          <w:lang w:val="en-GB"/>
        </w:rPr>
        <w:t>are</w:t>
      </w:r>
      <w:r w:rsidR="0046658E">
        <w:rPr>
          <w:lang w:val="en-GB"/>
        </w:rPr>
        <w:t xml:space="preserve"> analysed</w:t>
      </w:r>
      <w:r w:rsidR="00751082">
        <w:rPr>
          <w:lang w:val="en-GB"/>
        </w:rPr>
        <w:t>,</w:t>
      </w:r>
      <w:r w:rsidR="0046658E">
        <w:rPr>
          <w:lang w:val="en-GB"/>
        </w:rPr>
        <w:t xml:space="preserve"> described </w:t>
      </w:r>
      <w:r w:rsidR="00864EAB" w:rsidRPr="000C0C93">
        <w:rPr>
          <w:lang w:val="en-GB"/>
        </w:rPr>
        <w:t>and updated according to the</w:t>
      </w:r>
      <w:r w:rsidR="00864EAB" w:rsidRPr="000C0C93">
        <w:rPr>
          <w:b/>
          <w:bCs/>
          <w:lang w:val="en-GB"/>
        </w:rPr>
        <w:t xml:space="preserve"> </w:t>
      </w:r>
      <w:r w:rsidR="00864EAB" w:rsidRPr="000C0C93">
        <w:rPr>
          <w:bCs/>
          <w:lang w:val="en-GB"/>
        </w:rPr>
        <w:t xml:space="preserve">NACE rev. 2 </w:t>
      </w:r>
      <w:r w:rsidR="00754E5A" w:rsidRPr="000C0C93">
        <w:rPr>
          <w:bCs/>
          <w:lang w:val="en-GB"/>
        </w:rPr>
        <w:t>classifications</w:t>
      </w:r>
      <w:r w:rsidR="00864EAB" w:rsidRPr="000C0C93">
        <w:rPr>
          <w:lang w:val="en-GB"/>
        </w:rPr>
        <w:t>.</w:t>
      </w:r>
      <w:r w:rsidR="00751082">
        <w:rPr>
          <w:lang w:val="en-GB"/>
        </w:rPr>
        <w:t xml:space="preserve"> </w:t>
      </w:r>
    </w:p>
    <w:p w:rsidR="00655FF4" w:rsidRDefault="00655FF4" w:rsidP="009F4946">
      <w:pPr>
        <w:rPr>
          <w:lang w:val="en-GB"/>
        </w:rPr>
      </w:pPr>
      <w:r>
        <w:rPr>
          <w:lang w:val="en-GB"/>
        </w:rPr>
        <w:t>The analysis is carried out in two steps:</w:t>
      </w:r>
    </w:p>
    <w:p w:rsidR="00655FF4" w:rsidRDefault="00655FF4" w:rsidP="00FF2F7C">
      <w:pPr>
        <w:pStyle w:val="ListParagraph"/>
        <w:numPr>
          <w:ilvl w:val="0"/>
          <w:numId w:val="10"/>
        </w:numPr>
        <w:ind w:left="426"/>
        <w:rPr>
          <w:lang w:val="en-GB"/>
        </w:rPr>
      </w:pPr>
      <w:r>
        <w:rPr>
          <w:lang w:val="en-GB"/>
        </w:rPr>
        <w:t xml:space="preserve">The first step focuses on the collection of </w:t>
      </w:r>
      <w:r w:rsidRPr="00655FF4">
        <w:rPr>
          <w:b/>
          <w:lang w:val="en-GB"/>
        </w:rPr>
        <w:t>quantitative data</w:t>
      </w:r>
      <w:r>
        <w:rPr>
          <w:lang w:val="en-GB"/>
        </w:rPr>
        <w:t xml:space="preserve"> on the maritime economic activities. As far as possible data are based on Eurostat and official national statistics, where relevant (or necessary) complemented with alternative secondary sources. </w:t>
      </w:r>
      <w:r w:rsidR="006D3BCC">
        <w:rPr>
          <w:lang w:val="en-GB"/>
        </w:rPr>
        <w:t xml:space="preserve">The aim is to use the same basic method for all countries. </w:t>
      </w:r>
      <w:r>
        <w:rPr>
          <w:lang w:val="en-GB"/>
        </w:rPr>
        <w:t>.</w:t>
      </w:r>
    </w:p>
    <w:p w:rsidR="00655FF4" w:rsidRPr="00655FF4" w:rsidRDefault="00655FF4" w:rsidP="00FF2F7C">
      <w:pPr>
        <w:pStyle w:val="ListParagraph"/>
        <w:numPr>
          <w:ilvl w:val="0"/>
          <w:numId w:val="10"/>
        </w:numPr>
        <w:ind w:left="426"/>
        <w:rPr>
          <w:lang w:val="en-GB"/>
        </w:rPr>
      </w:pPr>
      <w:r>
        <w:rPr>
          <w:lang w:val="en-GB"/>
        </w:rPr>
        <w:t xml:space="preserve">The second step </w:t>
      </w:r>
      <w:r w:rsidR="001F6F28">
        <w:rPr>
          <w:lang w:val="en-GB"/>
        </w:rPr>
        <w:t xml:space="preserve">provides a </w:t>
      </w:r>
      <w:r w:rsidR="001F6F28" w:rsidRPr="00DB44AC">
        <w:rPr>
          <w:b/>
          <w:lang w:val="en-GB"/>
        </w:rPr>
        <w:t>qualitative review</w:t>
      </w:r>
      <w:r w:rsidR="001F6F28">
        <w:rPr>
          <w:lang w:val="en-GB"/>
        </w:rPr>
        <w:t xml:space="preserve"> of the maritime activities and their status. The information presented builds on the data collected, supplemented with specific inputs and </w:t>
      </w:r>
      <w:r w:rsidR="00097299">
        <w:rPr>
          <w:lang w:val="en-GB"/>
        </w:rPr>
        <w:t>analysis</w:t>
      </w:r>
      <w:r w:rsidR="001F6F28">
        <w:rPr>
          <w:lang w:val="en-GB"/>
        </w:rPr>
        <w:t xml:space="preserve"> by the </w:t>
      </w:r>
      <w:r w:rsidR="005E555B">
        <w:rPr>
          <w:lang w:val="en-GB"/>
        </w:rPr>
        <w:t>country editors</w:t>
      </w:r>
      <w:r w:rsidR="001F6F28">
        <w:rPr>
          <w:lang w:val="en-GB"/>
        </w:rPr>
        <w:t>.</w:t>
      </w:r>
    </w:p>
    <w:p w:rsidR="001F6F28" w:rsidRDefault="001F6F28" w:rsidP="00CD2C69">
      <w:pPr>
        <w:spacing w:before="0" w:after="120"/>
        <w:rPr>
          <w:lang w:val="en-GB"/>
        </w:rPr>
      </w:pPr>
    </w:p>
    <w:p w:rsidR="001F6F28" w:rsidRDefault="00B13FFC" w:rsidP="001F6F28">
      <w:pPr>
        <w:pStyle w:val="Caption"/>
      </w:pPr>
      <w:r>
        <w:t xml:space="preserve">Quantitative </w:t>
      </w:r>
      <w:r w:rsidR="001F6F28">
        <w:t>overview of maritime economic activities</w:t>
      </w:r>
    </w:p>
    <w:p w:rsidR="003E06BA" w:rsidRDefault="001F6F28" w:rsidP="00CD2C69">
      <w:pPr>
        <w:spacing w:before="0" w:after="120"/>
        <w:rPr>
          <w:lang w:val="en-GB"/>
        </w:rPr>
      </w:pPr>
      <w:r>
        <w:rPr>
          <w:lang w:val="en-GB"/>
        </w:rPr>
        <w:t xml:space="preserve">Table 1 provides an overview of the most reliable </w:t>
      </w:r>
      <w:r w:rsidR="008C769B" w:rsidRPr="001F6F28">
        <w:rPr>
          <w:lang w:val="en-GB"/>
        </w:rPr>
        <w:t>data for each of the maritime economic activities</w:t>
      </w:r>
      <w:r>
        <w:rPr>
          <w:rStyle w:val="FootnoteReference"/>
          <w:lang w:val="en-GB"/>
        </w:rPr>
        <w:footnoteReference w:id="14"/>
      </w:r>
      <w:r w:rsidRPr="001F6F28">
        <w:rPr>
          <w:lang w:val="en-GB"/>
        </w:rPr>
        <w:t>.</w:t>
      </w:r>
      <w:r>
        <w:rPr>
          <w:lang w:val="en-GB"/>
        </w:rPr>
        <w:t xml:space="preserve"> </w:t>
      </w:r>
      <w:r w:rsidRPr="001F6F28">
        <w:rPr>
          <w:lang w:val="en-GB"/>
        </w:rPr>
        <w:t xml:space="preserve">More detailed information from all relevant sources is provided in </w:t>
      </w:r>
      <w:r w:rsidRPr="001F6F28">
        <w:rPr>
          <w:b/>
          <w:lang w:val="en-GB"/>
        </w:rPr>
        <w:t>Annex I</w:t>
      </w:r>
      <w:r w:rsidRPr="001F6F28">
        <w:rPr>
          <w:lang w:val="en-GB"/>
        </w:rPr>
        <w:t>.</w:t>
      </w:r>
      <w:r>
        <w:rPr>
          <w:i/>
          <w:lang w:val="en-GB"/>
        </w:rPr>
        <w:t xml:space="preserve"> </w:t>
      </w:r>
      <w:r>
        <w:rPr>
          <w:lang w:val="en-GB"/>
        </w:rPr>
        <w:t>A</w:t>
      </w:r>
      <w:r w:rsidR="0092748F">
        <w:rPr>
          <w:lang w:val="en-GB"/>
        </w:rPr>
        <w:t xml:space="preserve"> separate Methodology Annex</w:t>
      </w:r>
      <w:r w:rsidR="00DB44AC">
        <w:rPr>
          <w:lang w:val="en-GB"/>
        </w:rPr>
        <w:t xml:space="preserve"> </w:t>
      </w:r>
      <w:r>
        <w:rPr>
          <w:lang w:val="en-GB"/>
        </w:rPr>
        <w:t xml:space="preserve">provides further explanation on the methodological assumptions and the underlying definitions that have been used. </w:t>
      </w:r>
    </w:p>
    <w:p w:rsidR="00992DB1" w:rsidRPr="001F6F28" w:rsidRDefault="00992DB1" w:rsidP="00CD2C69">
      <w:pPr>
        <w:spacing w:before="0" w:after="120"/>
        <w:rPr>
          <w:lang w:val="en-GB"/>
        </w:rPr>
      </w:pPr>
      <w:r>
        <w:rPr>
          <w:lang w:val="en-GB"/>
        </w:rPr>
        <w:t xml:space="preserve">In total, maritime activities in France generate direct employment for at least 300,000 people, representing a gross value added of minimally </w:t>
      </w:r>
      <w:r w:rsidR="00DB44AC">
        <w:rPr>
          <w:rFonts w:cstheme="minorHAnsi"/>
          <w:lang w:val="en-GB"/>
        </w:rPr>
        <w:t>€</w:t>
      </w:r>
      <w:r w:rsidR="00DB44AC">
        <w:rPr>
          <w:lang w:val="en-GB"/>
        </w:rPr>
        <w:t xml:space="preserve"> </w:t>
      </w:r>
      <w:r w:rsidR="00657ACA">
        <w:rPr>
          <w:lang w:val="en-GB"/>
        </w:rPr>
        <w:t>14.5 billion.</w:t>
      </w:r>
    </w:p>
    <w:p w:rsidR="00877EDF" w:rsidRDefault="00864EAB" w:rsidP="00877EDF">
      <w:pPr>
        <w:pStyle w:val="Caption"/>
        <w:keepNext w:val="0"/>
        <w:keepLines w:val="0"/>
        <w:ind w:left="0" w:firstLine="0"/>
        <w:jc w:val="left"/>
      </w:pPr>
      <w:r w:rsidRPr="0002219B">
        <w:t xml:space="preserve">Table </w:t>
      </w:r>
      <w:fldSimple w:instr=" STYLEREF 1 \s ">
        <w:r w:rsidR="005E555B">
          <w:rPr>
            <w:noProof/>
          </w:rPr>
          <w:t>1</w:t>
        </w:r>
      </w:fldSimple>
      <w:r w:rsidRPr="0002219B">
        <w:t xml:space="preserve"> </w:t>
      </w:r>
      <w:r w:rsidR="007A26F3">
        <w:t>–</w:t>
      </w:r>
      <w:r w:rsidRPr="0002219B">
        <w:t xml:space="preserve">Overview of relevant </w:t>
      </w:r>
      <w:r w:rsidR="0035105C">
        <w:t>maritime economic activities</w:t>
      </w:r>
      <w:r w:rsidRPr="0002219B">
        <w:t xml:space="preserve"> </w:t>
      </w:r>
      <w:r w:rsidR="00DB44AC">
        <w:t>- France</w:t>
      </w:r>
    </w:p>
    <w:p w:rsidR="00877EDF" w:rsidRPr="00F368DF" w:rsidRDefault="00877EDF" w:rsidP="007C2E30">
      <w:pPr>
        <w:rPr>
          <w:lang w:val="en-GB"/>
        </w:rPr>
      </w:pPr>
    </w:p>
    <w:p w:rsidR="00F31150" w:rsidRPr="00F368DF" w:rsidRDefault="00F31150" w:rsidP="007C2E30">
      <w:pPr>
        <w:rPr>
          <w:lang w:val="en-GB"/>
        </w:rPr>
        <w:sectPr w:rsidR="00F31150" w:rsidRPr="00F368DF" w:rsidSect="000138C7">
          <w:pgSz w:w="11906" w:h="16838"/>
          <w:pgMar w:top="1387" w:right="1134" w:bottom="1134" w:left="1134" w:header="284" w:footer="93" w:gutter="0"/>
          <w:pgNumType w:start="1"/>
          <w:cols w:space="708"/>
          <w:docGrid w:linePitch="360"/>
        </w:sectPr>
      </w:pPr>
    </w:p>
    <w:tbl>
      <w:tblPr>
        <w:tblW w:w="14988" w:type="dxa"/>
        <w:tblLayout w:type="fixed"/>
        <w:tblLook w:val="04A0" w:firstRow="1" w:lastRow="0" w:firstColumn="1" w:lastColumn="0" w:noHBand="0" w:noVBand="1"/>
      </w:tblPr>
      <w:tblGrid>
        <w:gridCol w:w="799"/>
        <w:gridCol w:w="4095"/>
        <w:gridCol w:w="1275"/>
        <w:gridCol w:w="1275"/>
        <w:gridCol w:w="1259"/>
        <w:gridCol w:w="45"/>
        <w:gridCol w:w="2460"/>
        <w:gridCol w:w="1262"/>
        <w:gridCol w:w="2518"/>
      </w:tblGrid>
      <w:tr w:rsidR="00564011" w:rsidRPr="00564011" w:rsidTr="00877EDF">
        <w:trPr>
          <w:trHeight w:val="567"/>
          <w:tblHeader/>
        </w:trPr>
        <w:tc>
          <w:tcPr>
            <w:tcW w:w="489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992DB1" w:rsidRPr="00877EDF" w:rsidRDefault="00992DB1" w:rsidP="007F22B2">
            <w:pPr>
              <w:contextualSpacing/>
              <w:jc w:val="center"/>
              <w:rPr>
                <w:rFonts w:ascii="Calibri" w:eastAsia="Times New Roman" w:hAnsi="Calibri" w:cs="Times New Roman"/>
                <w:b/>
                <w:bCs/>
                <w:color w:val="000000"/>
                <w:sz w:val="18"/>
                <w:szCs w:val="18"/>
                <w:lang w:val="en-GB" w:eastAsia="en-GB"/>
              </w:rPr>
            </w:pPr>
            <w:bookmarkStart w:id="13" w:name="_InMacro_" w:colFirst="1" w:colLast="2"/>
            <w:r w:rsidRPr="00877EDF">
              <w:rPr>
                <w:rFonts w:ascii="Calibri" w:eastAsia="Times New Roman" w:hAnsi="Calibri" w:cs="Times New Roman"/>
                <w:b/>
                <w:bCs/>
                <w:color w:val="000000"/>
                <w:sz w:val="18"/>
                <w:szCs w:val="18"/>
                <w:lang w:val="en-GB" w:eastAsia="en-GB"/>
              </w:rPr>
              <w:lastRenderedPageBreak/>
              <w:t>Maritime economic activity</w:t>
            </w:r>
          </w:p>
        </w:tc>
        <w:tc>
          <w:tcPr>
            <w:tcW w:w="1275" w:type="dxa"/>
            <w:tcBorders>
              <w:top w:val="single" w:sz="4" w:space="0" w:color="auto"/>
              <w:left w:val="single" w:sz="4" w:space="0" w:color="auto"/>
              <w:bottom w:val="single" w:sz="4" w:space="0" w:color="auto"/>
              <w:right w:val="single" w:sz="4" w:space="0" w:color="auto"/>
            </w:tcBorders>
            <w:shd w:val="clear" w:color="000000" w:fill="DBE5F1"/>
          </w:tcPr>
          <w:p w:rsidR="00992DB1" w:rsidRPr="00877EDF" w:rsidRDefault="00992DB1" w:rsidP="007F22B2">
            <w:pPr>
              <w:contextualSpacing/>
              <w:jc w:val="center"/>
              <w:rPr>
                <w:b/>
                <w:sz w:val="18"/>
                <w:szCs w:val="18"/>
                <w:vertAlign w:val="superscript"/>
                <w:lang w:val="en-GB"/>
              </w:rPr>
            </w:pPr>
            <w:r w:rsidRPr="00877EDF">
              <w:rPr>
                <w:b/>
                <w:sz w:val="18"/>
                <w:szCs w:val="18"/>
                <w:lang w:val="en-GB"/>
              </w:rPr>
              <w:t>Private/</w:t>
            </w:r>
            <w:r w:rsidR="007F22B2" w:rsidRPr="00877EDF">
              <w:rPr>
                <w:b/>
                <w:sz w:val="18"/>
                <w:szCs w:val="18"/>
                <w:lang w:val="en-GB"/>
              </w:rPr>
              <w:t xml:space="preserve"> </w:t>
            </w:r>
            <w:r w:rsidRPr="00877EDF">
              <w:rPr>
                <w:b/>
                <w:sz w:val="18"/>
                <w:szCs w:val="18"/>
                <w:lang w:val="en-GB"/>
              </w:rPr>
              <w:t>public driven</w:t>
            </w:r>
            <w:r w:rsidRPr="00877EDF">
              <w:rPr>
                <w:b/>
                <w:sz w:val="18"/>
                <w:szCs w:val="18"/>
                <w:vertAlign w:val="superscript"/>
                <w:lang w:val="en-GB"/>
              </w:rPr>
              <w:t>a</w:t>
            </w:r>
          </w:p>
        </w:tc>
        <w:tc>
          <w:tcPr>
            <w:tcW w:w="1275" w:type="dxa"/>
            <w:tcBorders>
              <w:top w:val="single" w:sz="4" w:space="0" w:color="auto"/>
              <w:left w:val="single" w:sz="4" w:space="0" w:color="auto"/>
              <w:bottom w:val="single" w:sz="4" w:space="0" w:color="auto"/>
              <w:right w:val="single" w:sz="4" w:space="0" w:color="auto"/>
            </w:tcBorders>
            <w:shd w:val="clear" w:color="000000" w:fill="DBE5F1"/>
            <w:vAlign w:val="center"/>
          </w:tcPr>
          <w:p w:rsidR="00992DB1" w:rsidRPr="00877EDF" w:rsidRDefault="00992DB1" w:rsidP="007F22B2">
            <w:pPr>
              <w:contextualSpacing/>
              <w:jc w:val="center"/>
              <w:rPr>
                <w:b/>
                <w:sz w:val="18"/>
                <w:szCs w:val="18"/>
                <w:lang w:val="en-GB"/>
              </w:rPr>
            </w:pPr>
            <w:r w:rsidRPr="00877EDF">
              <w:rPr>
                <w:b/>
                <w:sz w:val="18"/>
                <w:szCs w:val="18"/>
                <w:lang w:val="en-GB"/>
              </w:rPr>
              <w:t>GVA</w:t>
            </w:r>
          </w:p>
          <w:p w:rsidR="00992DB1" w:rsidRPr="00877EDF" w:rsidRDefault="00992DB1" w:rsidP="007F22B2">
            <w:pPr>
              <w:contextualSpacing/>
              <w:jc w:val="center"/>
              <w:rPr>
                <w:rFonts w:ascii="Calibri" w:eastAsia="Times New Roman" w:hAnsi="Calibri" w:cs="Times New Roman"/>
                <w:bCs/>
                <w:color w:val="000000"/>
                <w:sz w:val="18"/>
                <w:szCs w:val="18"/>
                <w:lang w:val="en-GB" w:eastAsia="en-GB"/>
              </w:rPr>
            </w:pPr>
            <w:r w:rsidRPr="00877EDF">
              <w:rPr>
                <w:sz w:val="18"/>
                <w:szCs w:val="18"/>
                <w:lang w:val="en-GB"/>
              </w:rPr>
              <w:t>(</w:t>
            </w:r>
            <w:r w:rsidR="003D46EA" w:rsidRPr="00877EDF">
              <w:rPr>
                <w:sz w:val="18"/>
                <w:szCs w:val="18"/>
                <w:lang w:val="en-GB"/>
              </w:rPr>
              <w:t>€</w:t>
            </w:r>
            <w:r w:rsidRPr="00877EDF">
              <w:rPr>
                <w:sz w:val="18"/>
                <w:szCs w:val="18"/>
                <w:lang w:val="en-GB"/>
              </w:rPr>
              <w:t>, million)</w:t>
            </w:r>
          </w:p>
        </w:tc>
        <w:tc>
          <w:tcPr>
            <w:tcW w:w="1259" w:type="dxa"/>
            <w:tcBorders>
              <w:top w:val="single" w:sz="4" w:space="0" w:color="auto"/>
              <w:left w:val="single" w:sz="4" w:space="0" w:color="auto"/>
              <w:bottom w:val="single" w:sz="4" w:space="0" w:color="auto"/>
              <w:right w:val="single" w:sz="4" w:space="0" w:color="auto"/>
            </w:tcBorders>
            <w:shd w:val="clear" w:color="000000" w:fill="DBE5F1"/>
            <w:vAlign w:val="center"/>
          </w:tcPr>
          <w:p w:rsidR="00992DB1" w:rsidRPr="00877EDF" w:rsidRDefault="00992DB1" w:rsidP="007F22B2">
            <w:pPr>
              <w:contextualSpacing/>
              <w:jc w:val="center"/>
              <w:rPr>
                <w:b/>
                <w:sz w:val="18"/>
                <w:szCs w:val="18"/>
                <w:lang w:val="en-GB"/>
              </w:rPr>
            </w:pPr>
            <w:r w:rsidRPr="00877EDF">
              <w:rPr>
                <w:b/>
                <w:sz w:val="18"/>
                <w:szCs w:val="18"/>
                <w:lang w:val="en-GB"/>
              </w:rPr>
              <w:t>Employment</w:t>
            </w:r>
          </w:p>
        </w:tc>
        <w:tc>
          <w:tcPr>
            <w:tcW w:w="2505" w:type="dxa"/>
            <w:gridSpan w:val="2"/>
            <w:tcBorders>
              <w:top w:val="single" w:sz="4" w:space="0" w:color="auto"/>
              <w:left w:val="single" w:sz="4" w:space="0" w:color="auto"/>
              <w:bottom w:val="single" w:sz="4" w:space="0" w:color="auto"/>
              <w:right w:val="single" w:sz="4" w:space="0" w:color="auto"/>
            </w:tcBorders>
            <w:shd w:val="clear" w:color="000000" w:fill="DBE5F1"/>
            <w:vAlign w:val="center"/>
          </w:tcPr>
          <w:p w:rsidR="00992DB1" w:rsidRPr="00877EDF" w:rsidRDefault="00992DB1" w:rsidP="007F22B2">
            <w:pPr>
              <w:contextualSpacing/>
              <w:jc w:val="center"/>
              <w:rPr>
                <w:rFonts w:ascii="Calibri" w:eastAsia="Times New Roman" w:hAnsi="Calibri" w:cs="Times New Roman"/>
                <w:b/>
                <w:bCs/>
                <w:color w:val="000000"/>
                <w:sz w:val="18"/>
                <w:szCs w:val="18"/>
                <w:lang w:val="en-GB" w:eastAsia="en-GB"/>
              </w:rPr>
            </w:pPr>
            <w:r w:rsidRPr="00877EDF">
              <w:rPr>
                <w:b/>
                <w:sz w:val="18"/>
                <w:szCs w:val="18"/>
                <w:lang w:val="en-GB"/>
              </w:rPr>
              <w:t>Source and Reference Year</w:t>
            </w:r>
          </w:p>
        </w:tc>
        <w:tc>
          <w:tcPr>
            <w:tcW w:w="1262" w:type="dxa"/>
            <w:tcBorders>
              <w:top w:val="single" w:sz="4" w:space="0" w:color="auto"/>
              <w:left w:val="single" w:sz="4" w:space="0" w:color="auto"/>
              <w:bottom w:val="single" w:sz="4" w:space="0" w:color="auto"/>
              <w:right w:val="single" w:sz="4" w:space="0" w:color="auto"/>
            </w:tcBorders>
            <w:shd w:val="clear" w:color="000000" w:fill="DBE5F1"/>
            <w:vAlign w:val="center"/>
          </w:tcPr>
          <w:p w:rsidR="00992DB1" w:rsidRPr="00877EDF" w:rsidRDefault="00992DB1" w:rsidP="007F22B2">
            <w:pPr>
              <w:contextualSpacing/>
              <w:jc w:val="center"/>
              <w:rPr>
                <w:b/>
                <w:sz w:val="18"/>
                <w:szCs w:val="18"/>
                <w:lang w:val="en-GB"/>
              </w:rPr>
            </w:pPr>
            <w:r w:rsidRPr="00877EDF">
              <w:rPr>
                <w:b/>
                <w:sz w:val="18"/>
                <w:szCs w:val="18"/>
                <w:lang w:val="en-GB"/>
              </w:rPr>
              <w:t>Number of enterprises</w:t>
            </w:r>
          </w:p>
        </w:tc>
        <w:tc>
          <w:tcPr>
            <w:tcW w:w="2518" w:type="dxa"/>
            <w:tcBorders>
              <w:top w:val="single" w:sz="4" w:space="0" w:color="auto"/>
              <w:left w:val="single" w:sz="4" w:space="0" w:color="auto"/>
              <w:bottom w:val="single" w:sz="4" w:space="0" w:color="auto"/>
              <w:right w:val="single" w:sz="4" w:space="0" w:color="auto"/>
            </w:tcBorders>
            <w:shd w:val="clear" w:color="000000" w:fill="DBE5F1"/>
            <w:vAlign w:val="center"/>
          </w:tcPr>
          <w:p w:rsidR="00992DB1" w:rsidRPr="00877EDF" w:rsidRDefault="00992DB1" w:rsidP="007F22B2">
            <w:pPr>
              <w:contextualSpacing/>
              <w:jc w:val="center"/>
              <w:rPr>
                <w:b/>
                <w:sz w:val="18"/>
                <w:szCs w:val="18"/>
                <w:lang w:val="en-GB"/>
              </w:rPr>
            </w:pPr>
            <w:r w:rsidRPr="00877EDF">
              <w:rPr>
                <w:b/>
                <w:sz w:val="18"/>
                <w:szCs w:val="18"/>
                <w:lang w:val="en-GB"/>
              </w:rPr>
              <w:t>Source &amp; Reference year</w:t>
            </w:r>
          </w:p>
        </w:tc>
      </w:tr>
      <w:tr w:rsidR="00564011" w:rsidRPr="00564011" w:rsidTr="00877EDF">
        <w:trPr>
          <w:trHeight w:val="567"/>
        </w:trPr>
        <w:tc>
          <w:tcPr>
            <w:tcW w:w="7444" w:type="dxa"/>
            <w:gridSpan w:val="4"/>
            <w:tcBorders>
              <w:top w:val="nil"/>
              <w:left w:val="single" w:sz="4" w:space="0" w:color="auto"/>
              <w:bottom w:val="single" w:sz="4" w:space="0" w:color="auto"/>
              <w:right w:val="nil"/>
            </w:tcBorders>
            <w:shd w:val="clear" w:color="000000" w:fill="0070C0"/>
          </w:tcPr>
          <w:p w:rsidR="00DB44AC" w:rsidRPr="00877EDF" w:rsidRDefault="00DB44AC" w:rsidP="007F22B2">
            <w:pPr>
              <w:contextualSpacing/>
              <w:jc w:val="left"/>
              <w:rPr>
                <w:rFonts w:ascii="Calibri" w:eastAsia="Times New Roman" w:hAnsi="Calibri" w:cs="Times New Roman"/>
                <w:b/>
                <w:bCs/>
                <w:color w:val="FFFFFF"/>
                <w:sz w:val="18"/>
                <w:szCs w:val="18"/>
                <w:lang w:val="en-GB" w:eastAsia="en-GB"/>
              </w:rPr>
            </w:pPr>
            <w:r w:rsidRPr="00877EDF">
              <w:rPr>
                <w:rFonts w:ascii="Calibri" w:eastAsia="Times New Roman" w:hAnsi="Calibri" w:cs="Times New Roman"/>
                <w:b/>
                <w:bCs/>
                <w:color w:val="FFFFFF"/>
                <w:sz w:val="18"/>
                <w:szCs w:val="18"/>
                <w:lang w:val="en-GB" w:eastAsia="en-GB"/>
              </w:rPr>
              <w:t>0. Shipbuilding</w:t>
            </w:r>
          </w:p>
        </w:tc>
        <w:tc>
          <w:tcPr>
            <w:tcW w:w="1259" w:type="dxa"/>
            <w:tcBorders>
              <w:top w:val="nil"/>
              <w:left w:val="single" w:sz="4" w:space="0" w:color="auto"/>
              <w:bottom w:val="single" w:sz="4" w:space="0" w:color="auto"/>
              <w:right w:val="nil"/>
            </w:tcBorders>
            <w:shd w:val="clear" w:color="000000" w:fill="0070C0"/>
          </w:tcPr>
          <w:p w:rsidR="00DB44AC" w:rsidRPr="00877EDF" w:rsidRDefault="00DB44AC" w:rsidP="007F22B2">
            <w:pPr>
              <w:contextualSpacing/>
              <w:jc w:val="center"/>
              <w:rPr>
                <w:rFonts w:ascii="Calibri" w:eastAsia="Times New Roman" w:hAnsi="Calibri" w:cs="Times New Roman"/>
                <w:b/>
                <w:bCs/>
                <w:color w:val="FFFFFF"/>
                <w:sz w:val="18"/>
                <w:szCs w:val="18"/>
                <w:lang w:val="en-GB" w:eastAsia="en-GB"/>
              </w:rPr>
            </w:pPr>
          </w:p>
        </w:tc>
        <w:tc>
          <w:tcPr>
            <w:tcW w:w="2505" w:type="dxa"/>
            <w:gridSpan w:val="2"/>
            <w:tcBorders>
              <w:top w:val="nil"/>
              <w:left w:val="single" w:sz="4" w:space="0" w:color="auto"/>
              <w:bottom w:val="single" w:sz="4" w:space="0" w:color="auto"/>
              <w:right w:val="nil"/>
            </w:tcBorders>
            <w:shd w:val="clear" w:color="000000" w:fill="0070C0"/>
          </w:tcPr>
          <w:p w:rsidR="00DB44AC" w:rsidRPr="00877EDF" w:rsidRDefault="00DB44AC" w:rsidP="007F22B2">
            <w:pPr>
              <w:contextualSpacing/>
              <w:jc w:val="center"/>
              <w:rPr>
                <w:rFonts w:ascii="Calibri" w:eastAsia="Times New Roman" w:hAnsi="Calibri" w:cs="Times New Roman"/>
                <w:b/>
                <w:bCs/>
                <w:color w:val="FFFFFF"/>
                <w:sz w:val="18"/>
                <w:szCs w:val="18"/>
                <w:lang w:val="en-GB" w:eastAsia="en-GB"/>
              </w:rPr>
            </w:pPr>
          </w:p>
        </w:tc>
        <w:tc>
          <w:tcPr>
            <w:tcW w:w="1262" w:type="dxa"/>
            <w:tcBorders>
              <w:top w:val="nil"/>
              <w:left w:val="single" w:sz="4" w:space="0" w:color="auto"/>
              <w:bottom w:val="single" w:sz="4" w:space="0" w:color="auto"/>
              <w:right w:val="nil"/>
            </w:tcBorders>
            <w:shd w:val="clear" w:color="000000" w:fill="0070C0"/>
          </w:tcPr>
          <w:p w:rsidR="00DB44AC" w:rsidRPr="00877EDF" w:rsidRDefault="00DB44AC" w:rsidP="007F22B2">
            <w:pPr>
              <w:contextualSpacing/>
              <w:jc w:val="center"/>
              <w:rPr>
                <w:rFonts w:ascii="Calibri" w:eastAsia="Times New Roman" w:hAnsi="Calibri" w:cs="Times New Roman"/>
                <w:b/>
                <w:bCs/>
                <w:color w:val="FFFFFF"/>
                <w:sz w:val="18"/>
                <w:szCs w:val="18"/>
                <w:lang w:val="en-GB" w:eastAsia="en-GB"/>
              </w:rPr>
            </w:pPr>
          </w:p>
        </w:tc>
        <w:tc>
          <w:tcPr>
            <w:tcW w:w="2518" w:type="dxa"/>
            <w:tcBorders>
              <w:top w:val="nil"/>
              <w:left w:val="single" w:sz="4" w:space="0" w:color="auto"/>
              <w:bottom w:val="single" w:sz="4" w:space="0" w:color="auto"/>
              <w:right w:val="nil"/>
            </w:tcBorders>
            <w:shd w:val="clear" w:color="000000" w:fill="0070C0"/>
          </w:tcPr>
          <w:p w:rsidR="00DB44AC" w:rsidRPr="00877EDF" w:rsidRDefault="00DB44AC" w:rsidP="007F22B2">
            <w:pPr>
              <w:contextualSpacing/>
              <w:jc w:val="center"/>
              <w:rPr>
                <w:rFonts w:ascii="Calibri" w:eastAsia="Times New Roman" w:hAnsi="Calibri" w:cs="Times New Roman"/>
                <w:b/>
                <w:bCs/>
                <w:color w:val="FFFFFF"/>
                <w:sz w:val="18"/>
                <w:szCs w:val="18"/>
                <w:lang w:val="en-GB" w:eastAsia="en-GB"/>
              </w:rPr>
            </w:pPr>
          </w:p>
        </w:tc>
      </w:tr>
      <w:tr w:rsidR="00564011" w:rsidRPr="00564011" w:rsidTr="00877EDF">
        <w:trPr>
          <w:trHeight w:val="567"/>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92DB1" w:rsidRPr="00877EDF" w:rsidRDefault="00992DB1" w:rsidP="007F22B2">
            <w:pPr>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0.1</w:t>
            </w:r>
          </w:p>
        </w:tc>
        <w:tc>
          <w:tcPr>
            <w:tcW w:w="4095" w:type="dxa"/>
            <w:tcBorders>
              <w:top w:val="single" w:sz="4" w:space="0" w:color="auto"/>
              <w:left w:val="nil"/>
              <w:bottom w:val="single" w:sz="4" w:space="0" w:color="auto"/>
              <w:right w:val="single" w:sz="4" w:space="0" w:color="auto"/>
            </w:tcBorders>
            <w:shd w:val="clear" w:color="auto" w:fill="auto"/>
            <w:vAlign w:val="center"/>
          </w:tcPr>
          <w:p w:rsidR="00992DB1" w:rsidRPr="00877EDF" w:rsidRDefault="004E2DC1" w:rsidP="007F22B2">
            <w:pPr>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Shipbuilding (incl</w:t>
            </w:r>
            <w:r w:rsidR="00992DB1" w:rsidRPr="00877EDF">
              <w:rPr>
                <w:rFonts w:ascii="Calibri" w:eastAsia="Times New Roman" w:hAnsi="Calibri" w:cs="Times New Roman"/>
                <w:color w:val="000000"/>
                <w:sz w:val="18"/>
                <w:szCs w:val="18"/>
                <w:lang w:val="en-GB" w:eastAsia="en-GB"/>
              </w:rPr>
              <w:t>. leisure boats) and ship repair</w:t>
            </w:r>
          </w:p>
        </w:tc>
        <w:tc>
          <w:tcPr>
            <w:tcW w:w="1275" w:type="dxa"/>
            <w:tcBorders>
              <w:top w:val="single" w:sz="4" w:space="0" w:color="auto"/>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Pr/pu (naval)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2DB1" w:rsidRPr="00877EDF" w:rsidRDefault="005D25F2"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1</w:t>
            </w:r>
            <w:r w:rsidR="00316EA8" w:rsidRPr="00877EDF">
              <w:rPr>
                <w:rFonts w:ascii="Calibri" w:eastAsia="Times New Roman" w:hAnsi="Calibri" w:cs="Times New Roman"/>
                <w:sz w:val="18"/>
                <w:szCs w:val="18"/>
                <w:lang w:val="en-GB" w:eastAsia="en-GB"/>
              </w:rPr>
              <w:t>,</w:t>
            </w:r>
            <w:r w:rsidRPr="00877EDF">
              <w:rPr>
                <w:rFonts w:ascii="Calibri" w:eastAsia="Times New Roman" w:hAnsi="Calibri" w:cs="Times New Roman"/>
                <w:sz w:val="18"/>
                <w:szCs w:val="18"/>
                <w:lang w:val="en-GB" w:eastAsia="en-GB"/>
              </w:rPr>
              <w:t>472</w:t>
            </w:r>
          </w:p>
        </w:tc>
        <w:tc>
          <w:tcPr>
            <w:tcW w:w="1259" w:type="dxa"/>
            <w:tcBorders>
              <w:top w:val="single" w:sz="4" w:space="0" w:color="auto"/>
              <w:left w:val="nil"/>
              <w:bottom w:val="single" w:sz="4" w:space="0" w:color="auto"/>
              <w:right w:val="single" w:sz="4" w:space="0" w:color="auto"/>
            </w:tcBorders>
            <w:vAlign w:val="center"/>
          </w:tcPr>
          <w:p w:rsidR="00992DB1" w:rsidRPr="00877EDF" w:rsidRDefault="005D25F2"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26</w:t>
            </w:r>
            <w:r w:rsidR="00316EA8" w:rsidRPr="00877EDF">
              <w:rPr>
                <w:rFonts w:ascii="Calibri" w:eastAsia="Times New Roman" w:hAnsi="Calibri" w:cs="Times New Roman"/>
                <w:sz w:val="18"/>
                <w:szCs w:val="18"/>
                <w:lang w:val="en-GB" w:eastAsia="en-GB"/>
              </w:rPr>
              <w:t>,</w:t>
            </w:r>
            <w:r w:rsidRPr="00877EDF">
              <w:rPr>
                <w:rFonts w:ascii="Calibri" w:eastAsia="Times New Roman" w:hAnsi="Calibri" w:cs="Times New Roman"/>
                <w:sz w:val="18"/>
                <w:szCs w:val="18"/>
                <w:lang w:val="en-GB" w:eastAsia="en-GB"/>
              </w:rPr>
              <w:t>631</w:t>
            </w:r>
          </w:p>
        </w:tc>
        <w:tc>
          <w:tcPr>
            <w:tcW w:w="2505" w:type="dxa"/>
            <w:gridSpan w:val="2"/>
            <w:tcBorders>
              <w:top w:val="single" w:sz="4" w:space="0" w:color="auto"/>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i/>
                <w:sz w:val="18"/>
                <w:szCs w:val="18"/>
                <w:lang w:val="en-GB" w:eastAsia="en-GB"/>
              </w:rPr>
            </w:pPr>
            <w:r w:rsidRPr="00877EDF">
              <w:rPr>
                <w:rFonts w:ascii="Calibri" w:eastAsia="Times New Roman" w:hAnsi="Calibri" w:cs="Times New Roman"/>
                <w:i/>
                <w:sz w:val="18"/>
                <w:szCs w:val="18"/>
                <w:lang w:val="en-GB" w:eastAsia="en-GB"/>
              </w:rPr>
              <w:t>Eurostat, 2010</w:t>
            </w:r>
          </w:p>
        </w:tc>
        <w:tc>
          <w:tcPr>
            <w:tcW w:w="1262" w:type="dxa"/>
            <w:tcBorders>
              <w:top w:val="single" w:sz="4" w:space="0" w:color="auto"/>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101</w:t>
            </w:r>
            <w:r w:rsidR="005D25F2" w:rsidRPr="00877EDF">
              <w:rPr>
                <w:rStyle w:val="FootnoteReference"/>
                <w:rFonts w:ascii="Calibri" w:eastAsia="Times New Roman" w:hAnsi="Calibri" w:cs="Times New Roman"/>
                <w:sz w:val="18"/>
                <w:szCs w:val="18"/>
                <w:lang w:val="en-GB" w:eastAsia="en-GB"/>
              </w:rPr>
              <w:footnoteReference w:id="15"/>
            </w:r>
          </w:p>
        </w:tc>
        <w:tc>
          <w:tcPr>
            <w:tcW w:w="2518" w:type="dxa"/>
            <w:tcBorders>
              <w:top w:val="single" w:sz="4" w:space="0" w:color="auto"/>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i/>
                <w:sz w:val="18"/>
                <w:szCs w:val="18"/>
                <w:lang w:val="en-GB" w:eastAsia="en-GB"/>
              </w:rPr>
            </w:pPr>
            <w:r w:rsidRPr="00877EDF">
              <w:rPr>
                <w:rFonts w:ascii="Calibri" w:eastAsia="Times New Roman" w:hAnsi="Calibri" w:cs="Times New Roman"/>
                <w:i/>
                <w:sz w:val="18"/>
                <w:szCs w:val="18"/>
                <w:lang w:val="en-GB" w:eastAsia="en-GB"/>
              </w:rPr>
              <w:t>Amadeus database</w:t>
            </w:r>
          </w:p>
        </w:tc>
      </w:tr>
      <w:tr w:rsidR="00564011" w:rsidRPr="00564011" w:rsidTr="00877EDF">
        <w:trPr>
          <w:trHeight w:val="567"/>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92DB1" w:rsidRPr="00877EDF" w:rsidRDefault="00992DB1" w:rsidP="007F22B2">
            <w:pPr>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0.2</w:t>
            </w:r>
          </w:p>
        </w:tc>
        <w:tc>
          <w:tcPr>
            <w:tcW w:w="4095" w:type="dxa"/>
            <w:tcBorders>
              <w:top w:val="single" w:sz="4" w:space="0" w:color="auto"/>
              <w:left w:val="nil"/>
              <w:bottom w:val="single" w:sz="4" w:space="0" w:color="auto"/>
              <w:right w:val="single" w:sz="4" w:space="0" w:color="auto"/>
            </w:tcBorders>
            <w:shd w:val="clear" w:color="auto" w:fill="auto"/>
            <w:vAlign w:val="center"/>
          </w:tcPr>
          <w:p w:rsidR="00992DB1" w:rsidRPr="00877EDF" w:rsidRDefault="00992DB1" w:rsidP="007F22B2">
            <w:pPr>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Construction of water projects</w:t>
            </w:r>
          </w:p>
        </w:tc>
        <w:tc>
          <w:tcPr>
            <w:tcW w:w="1275" w:type="dxa"/>
            <w:tcBorders>
              <w:top w:val="single" w:sz="4" w:space="0" w:color="auto"/>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Pu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2DB1" w:rsidRPr="00877EDF" w:rsidRDefault="00992DB1"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687</w:t>
            </w:r>
          </w:p>
        </w:tc>
        <w:tc>
          <w:tcPr>
            <w:tcW w:w="1259" w:type="dxa"/>
            <w:tcBorders>
              <w:top w:val="single" w:sz="4" w:space="0" w:color="auto"/>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4</w:t>
            </w:r>
            <w:r w:rsidR="00316EA8" w:rsidRPr="00877EDF">
              <w:rPr>
                <w:rFonts w:ascii="Calibri" w:eastAsia="Times New Roman" w:hAnsi="Calibri" w:cs="Times New Roman"/>
                <w:sz w:val="18"/>
                <w:szCs w:val="18"/>
                <w:lang w:val="en-GB" w:eastAsia="en-GB"/>
              </w:rPr>
              <w:t>,</w:t>
            </w:r>
            <w:r w:rsidRPr="00877EDF">
              <w:rPr>
                <w:rFonts w:ascii="Calibri" w:eastAsia="Times New Roman" w:hAnsi="Calibri" w:cs="Times New Roman"/>
                <w:sz w:val="18"/>
                <w:szCs w:val="18"/>
                <w:lang w:val="en-GB" w:eastAsia="en-GB"/>
              </w:rPr>
              <w:t>980</w:t>
            </w:r>
          </w:p>
        </w:tc>
        <w:tc>
          <w:tcPr>
            <w:tcW w:w="2505" w:type="dxa"/>
            <w:gridSpan w:val="2"/>
            <w:tcBorders>
              <w:top w:val="single" w:sz="4" w:space="0" w:color="auto"/>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i/>
                <w:sz w:val="18"/>
                <w:szCs w:val="18"/>
                <w:lang w:val="en-GB" w:eastAsia="en-GB"/>
              </w:rPr>
            </w:pPr>
            <w:r w:rsidRPr="00877EDF">
              <w:rPr>
                <w:rFonts w:ascii="Calibri" w:eastAsia="Times New Roman" w:hAnsi="Calibri" w:cs="Times New Roman"/>
                <w:i/>
                <w:sz w:val="18"/>
                <w:szCs w:val="18"/>
                <w:lang w:val="en-GB" w:eastAsia="en-GB"/>
              </w:rPr>
              <w:t>Eurostat, 2010</w:t>
            </w:r>
          </w:p>
        </w:tc>
        <w:tc>
          <w:tcPr>
            <w:tcW w:w="1262" w:type="dxa"/>
            <w:tcBorders>
              <w:top w:val="single" w:sz="4" w:space="0" w:color="auto"/>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292</w:t>
            </w:r>
          </w:p>
        </w:tc>
        <w:tc>
          <w:tcPr>
            <w:tcW w:w="2518" w:type="dxa"/>
            <w:tcBorders>
              <w:top w:val="single" w:sz="4" w:space="0" w:color="auto"/>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i/>
                <w:sz w:val="18"/>
                <w:szCs w:val="18"/>
                <w:lang w:val="en-GB" w:eastAsia="en-GB"/>
              </w:rPr>
            </w:pPr>
            <w:r w:rsidRPr="00877EDF">
              <w:rPr>
                <w:rFonts w:ascii="Calibri" w:eastAsia="Times New Roman" w:hAnsi="Calibri" w:cs="Times New Roman"/>
                <w:i/>
                <w:sz w:val="18"/>
                <w:szCs w:val="18"/>
                <w:lang w:val="en-GB" w:eastAsia="en-GB"/>
              </w:rPr>
              <w:t>Insee.fr, 2010</w:t>
            </w:r>
          </w:p>
        </w:tc>
      </w:tr>
      <w:tr w:rsidR="00564011" w:rsidRPr="00564011" w:rsidTr="00877EDF">
        <w:trPr>
          <w:trHeight w:val="567"/>
        </w:trPr>
        <w:tc>
          <w:tcPr>
            <w:tcW w:w="7444" w:type="dxa"/>
            <w:gridSpan w:val="4"/>
            <w:tcBorders>
              <w:top w:val="single" w:sz="4" w:space="0" w:color="auto"/>
              <w:left w:val="single" w:sz="4" w:space="0" w:color="auto"/>
              <w:bottom w:val="single" w:sz="4" w:space="0" w:color="auto"/>
              <w:right w:val="single" w:sz="4" w:space="0" w:color="auto"/>
            </w:tcBorders>
            <w:shd w:val="clear" w:color="auto" w:fill="006DB6"/>
          </w:tcPr>
          <w:p w:rsidR="00DB44AC" w:rsidRPr="00877EDF" w:rsidRDefault="00DB44AC" w:rsidP="007F22B2">
            <w:pPr>
              <w:contextualSpacing/>
              <w:jc w:val="left"/>
              <w:rPr>
                <w:rFonts w:ascii="Calibri" w:eastAsia="Times New Roman" w:hAnsi="Calibri" w:cs="Times New Roman"/>
                <w:b/>
                <w:color w:val="FF0000"/>
                <w:sz w:val="18"/>
                <w:szCs w:val="18"/>
                <w:lang w:val="en-GB" w:eastAsia="en-GB"/>
              </w:rPr>
            </w:pPr>
            <w:r w:rsidRPr="00877EDF">
              <w:rPr>
                <w:rFonts w:ascii="Calibri" w:eastAsia="Times New Roman" w:hAnsi="Calibri" w:cs="Times New Roman"/>
                <w:b/>
                <w:bCs/>
                <w:color w:val="FFFFFF"/>
                <w:sz w:val="18"/>
                <w:szCs w:val="18"/>
                <w:lang w:val="en-GB" w:eastAsia="en-GB"/>
              </w:rPr>
              <w:t>1. Maritime transport</w:t>
            </w:r>
          </w:p>
        </w:tc>
        <w:tc>
          <w:tcPr>
            <w:tcW w:w="1259" w:type="dxa"/>
            <w:tcBorders>
              <w:top w:val="single" w:sz="4" w:space="0" w:color="auto"/>
              <w:left w:val="nil"/>
              <w:bottom w:val="single" w:sz="4" w:space="0" w:color="auto"/>
              <w:right w:val="single" w:sz="4" w:space="0" w:color="auto"/>
            </w:tcBorders>
            <w:shd w:val="clear" w:color="auto" w:fill="006DB6"/>
            <w:vAlign w:val="center"/>
          </w:tcPr>
          <w:p w:rsidR="00DB44AC" w:rsidRPr="00877EDF" w:rsidRDefault="00DB44AC" w:rsidP="007F22B2">
            <w:pPr>
              <w:contextualSpacing/>
              <w:jc w:val="center"/>
              <w:rPr>
                <w:rFonts w:ascii="Calibri" w:eastAsia="Times New Roman" w:hAnsi="Calibri" w:cs="Times New Roman"/>
                <w:b/>
                <w:color w:val="FFFFFF" w:themeColor="background1"/>
                <w:sz w:val="18"/>
                <w:szCs w:val="18"/>
                <w:lang w:val="en-GB" w:eastAsia="en-GB"/>
              </w:rPr>
            </w:pPr>
          </w:p>
        </w:tc>
        <w:tc>
          <w:tcPr>
            <w:tcW w:w="2505" w:type="dxa"/>
            <w:gridSpan w:val="2"/>
            <w:tcBorders>
              <w:top w:val="single" w:sz="4" w:space="0" w:color="auto"/>
              <w:left w:val="nil"/>
              <w:bottom w:val="single" w:sz="4" w:space="0" w:color="auto"/>
              <w:right w:val="single" w:sz="4" w:space="0" w:color="auto"/>
            </w:tcBorders>
            <w:shd w:val="clear" w:color="auto" w:fill="006DB6"/>
            <w:vAlign w:val="center"/>
          </w:tcPr>
          <w:p w:rsidR="00DB44AC" w:rsidRPr="00877EDF" w:rsidRDefault="00DB44AC" w:rsidP="007F22B2">
            <w:pPr>
              <w:contextualSpacing/>
              <w:jc w:val="center"/>
              <w:rPr>
                <w:rFonts w:ascii="Calibri" w:eastAsia="Times New Roman" w:hAnsi="Calibri" w:cs="Times New Roman"/>
                <w:b/>
                <w:i/>
                <w:color w:val="FFFFFF" w:themeColor="background1"/>
                <w:sz w:val="18"/>
                <w:szCs w:val="18"/>
                <w:lang w:val="en-GB" w:eastAsia="en-GB"/>
              </w:rPr>
            </w:pPr>
          </w:p>
        </w:tc>
        <w:tc>
          <w:tcPr>
            <w:tcW w:w="1262" w:type="dxa"/>
            <w:tcBorders>
              <w:top w:val="single" w:sz="4" w:space="0" w:color="auto"/>
              <w:left w:val="nil"/>
              <w:bottom w:val="single" w:sz="4" w:space="0" w:color="auto"/>
              <w:right w:val="single" w:sz="4" w:space="0" w:color="auto"/>
            </w:tcBorders>
            <w:shd w:val="clear" w:color="auto" w:fill="006DB6"/>
            <w:vAlign w:val="center"/>
          </w:tcPr>
          <w:p w:rsidR="00DB44AC" w:rsidRPr="00877EDF" w:rsidRDefault="00DB44AC" w:rsidP="007F22B2">
            <w:pPr>
              <w:contextualSpacing/>
              <w:jc w:val="center"/>
              <w:rPr>
                <w:rFonts w:ascii="Calibri" w:eastAsia="Times New Roman" w:hAnsi="Calibri" w:cs="Times New Roman"/>
                <w:b/>
                <w:color w:val="FFFFFF" w:themeColor="background1"/>
                <w:sz w:val="18"/>
                <w:szCs w:val="18"/>
                <w:lang w:val="en-GB" w:eastAsia="en-GB"/>
              </w:rPr>
            </w:pPr>
          </w:p>
        </w:tc>
        <w:tc>
          <w:tcPr>
            <w:tcW w:w="2518" w:type="dxa"/>
            <w:tcBorders>
              <w:top w:val="single" w:sz="4" w:space="0" w:color="auto"/>
              <w:left w:val="nil"/>
              <w:bottom w:val="single" w:sz="4" w:space="0" w:color="auto"/>
              <w:right w:val="single" w:sz="4" w:space="0" w:color="auto"/>
            </w:tcBorders>
            <w:shd w:val="clear" w:color="auto" w:fill="006DB6"/>
            <w:vAlign w:val="center"/>
          </w:tcPr>
          <w:p w:rsidR="00DB44AC" w:rsidRPr="00877EDF" w:rsidRDefault="00DB44AC" w:rsidP="007F22B2">
            <w:pPr>
              <w:contextualSpacing/>
              <w:jc w:val="center"/>
              <w:rPr>
                <w:rFonts w:ascii="Calibri" w:eastAsia="Times New Roman" w:hAnsi="Calibri" w:cs="Times New Roman"/>
                <w:b/>
                <w:i/>
                <w:color w:val="FFFFFF" w:themeColor="background1"/>
                <w:sz w:val="18"/>
                <w:szCs w:val="18"/>
                <w:lang w:val="en-GB" w:eastAsia="en-GB"/>
              </w:rPr>
            </w:pPr>
          </w:p>
        </w:tc>
      </w:tr>
      <w:tr w:rsidR="00564011" w:rsidRPr="00F368DF"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1.1</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Deep-sea shipping</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contextualSpacing/>
              <w:jc w:val="center"/>
              <w:rPr>
                <w:rFonts w:ascii="Calibri" w:eastAsia="Times New Roman" w:hAnsi="Calibri" w:cs="Times New Roman"/>
                <w:sz w:val="18"/>
                <w:szCs w:val="18"/>
                <w:lang w:val="en-GB" w:eastAsia="en-GB"/>
              </w:rPr>
            </w:pPr>
            <w:r w:rsidRPr="00877EDF">
              <w:rPr>
                <w:rFonts w:ascii="Calibri" w:eastAsia="Times New Roman" w:hAnsi="Calibri" w:cs="Times New Roman"/>
                <w:sz w:val="18"/>
                <w:szCs w:val="18"/>
                <w:lang w:val="en-GB" w:eastAsia="en-GB"/>
              </w:rPr>
              <w:t>1</w:t>
            </w:r>
            <w:r w:rsidR="00316EA8" w:rsidRPr="00877EDF">
              <w:rPr>
                <w:rFonts w:ascii="Calibri" w:eastAsia="Times New Roman" w:hAnsi="Calibri" w:cs="Times New Roman"/>
                <w:sz w:val="18"/>
                <w:szCs w:val="18"/>
                <w:lang w:val="en-GB" w:eastAsia="en-GB"/>
              </w:rPr>
              <w:t>,</w:t>
            </w:r>
            <w:r w:rsidRPr="00877EDF">
              <w:rPr>
                <w:rFonts w:ascii="Calibri" w:eastAsia="Times New Roman" w:hAnsi="Calibri" w:cs="Times New Roman"/>
                <w:sz w:val="18"/>
                <w:szCs w:val="18"/>
                <w:lang w:val="en-GB" w:eastAsia="en-GB"/>
              </w:rPr>
              <w:t>460</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14</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641</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sz w:val="18"/>
                <w:szCs w:val="18"/>
                <w:lang w:val="en-GB" w:eastAsia="en-GB"/>
              </w:rPr>
              <w:t>Eurostat,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506</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National statistics NACE 2 data for 2010, supported by data Eurostat 2010</w:t>
            </w:r>
          </w:p>
        </w:tc>
      </w:tr>
      <w:tr w:rsidR="00564011" w:rsidRPr="00F368DF"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1.2</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Short-sea shipping (incl. Ro-Ro)</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049</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30</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572</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sz w:val="18"/>
                <w:szCs w:val="18"/>
                <w:lang w:val="en-GB" w:eastAsia="en-GB"/>
              </w:rPr>
              <w:t>Eurostat,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058</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National statistics NACE 2 data for 2010, supported by data Eurostat 2010</w:t>
            </w:r>
          </w:p>
        </w:tc>
      </w:tr>
      <w:tr w:rsidR="00564011" w:rsidRPr="00F368DF"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1.3</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Passenger ferry services</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978</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13</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931</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sz w:val="18"/>
                <w:szCs w:val="18"/>
                <w:lang w:val="en-GB" w:eastAsia="en-GB"/>
              </w:rPr>
              <w:t>Eurostat,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844</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National statistics NACE 2 data for 2010, supported by data Eurostat 2010</w:t>
            </w:r>
          </w:p>
        </w:tc>
      </w:tr>
      <w:tr w:rsidR="00564011" w:rsidRPr="00F368DF"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1.4</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Inland waterway transport</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288</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4</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298</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Eurostat,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900</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National statistics NACE 2 data for 2010, supported by data Eurostat 2010</w:t>
            </w:r>
          </w:p>
        </w:tc>
      </w:tr>
      <w:tr w:rsidR="00564011" w:rsidRPr="00F368DF" w:rsidTr="00877EDF">
        <w:trPr>
          <w:trHeight w:val="567"/>
        </w:trPr>
        <w:tc>
          <w:tcPr>
            <w:tcW w:w="7444" w:type="dxa"/>
            <w:gridSpan w:val="4"/>
            <w:tcBorders>
              <w:top w:val="nil"/>
              <w:left w:val="single" w:sz="4" w:space="0" w:color="auto"/>
              <w:bottom w:val="single" w:sz="4" w:space="0" w:color="auto"/>
              <w:right w:val="nil"/>
            </w:tcBorders>
            <w:shd w:val="clear" w:color="000000" w:fill="0070C0"/>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r w:rsidRPr="00877EDF">
              <w:rPr>
                <w:rFonts w:ascii="Calibri" w:eastAsia="Times New Roman" w:hAnsi="Calibri" w:cs="Times New Roman"/>
                <w:b/>
                <w:bCs/>
                <w:color w:val="FFFFFF"/>
                <w:sz w:val="18"/>
                <w:szCs w:val="18"/>
                <w:lang w:val="en-GB" w:eastAsia="en-GB"/>
              </w:rPr>
              <w:t>2. Food, nutrition, health and eco-system services</w:t>
            </w:r>
          </w:p>
        </w:tc>
        <w:tc>
          <w:tcPr>
            <w:tcW w:w="1259"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center"/>
              <w:rPr>
                <w:rFonts w:ascii="Calibri" w:eastAsia="Times New Roman" w:hAnsi="Calibri" w:cs="Times New Roman"/>
                <w:b/>
                <w:bCs/>
                <w:color w:val="FFFFFF"/>
                <w:sz w:val="18"/>
                <w:szCs w:val="18"/>
                <w:lang w:val="en-GB" w:eastAsia="en-GB"/>
              </w:rPr>
            </w:pPr>
          </w:p>
        </w:tc>
        <w:tc>
          <w:tcPr>
            <w:tcW w:w="2505" w:type="dxa"/>
            <w:gridSpan w:val="2"/>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center"/>
              <w:rPr>
                <w:rFonts w:ascii="Calibri" w:eastAsia="Times New Roman" w:hAnsi="Calibri" w:cs="Times New Roman"/>
                <w:b/>
                <w:bCs/>
                <w:i/>
                <w:color w:val="FFFFFF"/>
                <w:sz w:val="18"/>
                <w:szCs w:val="18"/>
                <w:lang w:val="en-GB" w:eastAsia="en-GB"/>
              </w:rPr>
            </w:pPr>
          </w:p>
        </w:tc>
        <w:tc>
          <w:tcPr>
            <w:tcW w:w="1262"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center"/>
              <w:rPr>
                <w:rFonts w:ascii="Calibri" w:eastAsia="Times New Roman" w:hAnsi="Calibri" w:cs="Times New Roman"/>
                <w:b/>
                <w:bCs/>
                <w:color w:val="FFFFFF"/>
                <w:sz w:val="18"/>
                <w:szCs w:val="18"/>
                <w:lang w:val="en-GB" w:eastAsia="en-GB"/>
              </w:rPr>
            </w:pPr>
          </w:p>
        </w:tc>
        <w:tc>
          <w:tcPr>
            <w:tcW w:w="2518"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center"/>
              <w:rPr>
                <w:rFonts w:ascii="Calibri" w:eastAsia="Times New Roman" w:hAnsi="Calibri" w:cs="Times New Roman"/>
                <w:b/>
                <w:bCs/>
                <w:i/>
                <w:color w:val="FFFFFF"/>
                <w:sz w:val="18"/>
                <w:szCs w:val="18"/>
                <w:lang w:val="en-GB" w:eastAsia="en-GB"/>
              </w:rPr>
            </w:pP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 xml:space="preserve">2.1 </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Catching fish for human consumption</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2</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759</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56</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156</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Eurostat,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532</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Le Cluster Maritime Français, 2010</w:t>
            </w: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 xml:space="preserve">2.2 </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Catching fish for animal feeding</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minimal</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minimal</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JRC, PRODCOM,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r>
      <w:tr w:rsidR="00564011" w:rsidRPr="007C2E30"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2.3</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Marine aquatic products</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258</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15</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536</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JRC,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757</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French Ministry of Sustainable Development, 2010</w:t>
            </w: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 xml:space="preserve">2.4 </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Blue biotechnology</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2.5</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Agriculture on saline soils</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476</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16</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852</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Eurostat,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r>
      <w:tr w:rsidR="00564011" w:rsidRPr="00564011" w:rsidTr="00877EDF">
        <w:trPr>
          <w:trHeight w:val="567"/>
        </w:trPr>
        <w:tc>
          <w:tcPr>
            <w:tcW w:w="7444" w:type="dxa"/>
            <w:gridSpan w:val="4"/>
            <w:tcBorders>
              <w:top w:val="nil"/>
              <w:left w:val="single" w:sz="4" w:space="0" w:color="auto"/>
              <w:bottom w:val="single" w:sz="4" w:space="0" w:color="auto"/>
              <w:right w:val="nil"/>
            </w:tcBorders>
            <w:shd w:val="clear" w:color="000000" w:fill="0070C0"/>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r w:rsidRPr="00877EDF">
              <w:rPr>
                <w:rFonts w:ascii="Calibri" w:eastAsia="Times New Roman" w:hAnsi="Calibri" w:cs="Times New Roman"/>
                <w:b/>
                <w:bCs/>
                <w:color w:val="FFFFFF"/>
                <w:sz w:val="18"/>
                <w:szCs w:val="18"/>
                <w:lang w:val="en-GB" w:eastAsia="en-GB"/>
              </w:rPr>
              <w:lastRenderedPageBreak/>
              <w:t>3. Energy and raw materials</w:t>
            </w:r>
          </w:p>
        </w:tc>
        <w:tc>
          <w:tcPr>
            <w:tcW w:w="1259"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p>
        </w:tc>
        <w:tc>
          <w:tcPr>
            <w:tcW w:w="2505" w:type="dxa"/>
            <w:gridSpan w:val="2"/>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i/>
                <w:color w:val="FFFFFF"/>
                <w:sz w:val="18"/>
                <w:szCs w:val="18"/>
                <w:lang w:val="en-GB" w:eastAsia="en-GB"/>
              </w:rPr>
            </w:pPr>
          </w:p>
        </w:tc>
        <w:tc>
          <w:tcPr>
            <w:tcW w:w="1262"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p>
        </w:tc>
        <w:tc>
          <w:tcPr>
            <w:tcW w:w="2518"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i/>
                <w:color w:val="FFFFFF"/>
                <w:sz w:val="18"/>
                <w:szCs w:val="18"/>
                <w:lang w:val="en-GB" w:eastAsia="en-GB"/>
              </w:rPr>
            </w:pP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3.1</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Offshore oil and gas</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Confidential</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From 27</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000 (a) to 30</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000 (b)</w:t>
            </w:r>
            <w:r w:rsidR="00F20429" w:rsidRPr="00877EDF">
              <w:rPr>
                <w:rStyle w:val="FootnoteReference"/>
                <w:rFonts w:ascii="Calibri" w:eastAsia="Times New Roman" w:hAnsi="Calibri" w:cs="Times New Roman"/>
                <w:color w:val="000000"/>
                <w:sz w:val="18"/>
                <w:szCs w:val="18"/>
                <w:lang w:val="en-GB" w:eastAsia="en-GB"/>
              </w:rPr>
              <w:footnoteReference w:id="16"/>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eastAsia="en-GB"/>
              </w:rPr>
            </w:pPr>
            <w:r w:rsidRPr="00877EDF">
              <w:rPr>
                <w:rFonts w:ascii="Calibri" w:eastAsia="Times New Roman" w:hAnsi="Calibri" w:cs="Times New Roman"/>
                <w:i/>
                <w:color w:val="000000"/>
                <w:sz w:val="18"/>
                <w:szCs w:val="18"/>
                <w:lang w:eastAsia="en-GB"/>
              </w:rPr>
              <w:t>(a) Le Cluster Maritime Français, 2010; (b) L’Institut Français de la Mer</w:t>
            </w:r>
            <w:r w:rsidRPr="00877EDF">
              <w:rPr>
                <w:rStyle w:val="FootnoteReference"/>
                <w:rFonts w:ascii="Calibri" w:eastAsia="Times New Roman" w:hAnsi="Calibri" w:cs="Times New Roman"/>
                <w:i/>
                <w:color w:val="000000"/>
                <w:sz w:val="18"/>
                <w:szCs w:val="18"/>
                <w:lang w:val="en-GB" w:eastAsia="en-GB"/>
              </w:rPr>
              <w:footnoteReference w:id="17"/>
            </w:r>
          </w:p>
        </w:tc>
        <w:tc>
          <w:tcPr>
            <w:tcW w:w="1262" w:type="dxa"/>
            <w:tcBorders>
              <w:top w:val="nil"/>
              <w:left w:val="nil"/>
              <w:bottom w:val="single" w:sz="4" w:space="0" w:color="auto"/>
              <w:right w:val="single" w:sz="4" w:space="0" w:color="auto"/>
            </w:tcBorders>
            <w:vAlign w:val="center"/>
          </w:tcPr>
          <w:p w:rsidR="00992DB1" w:rsidRPr="00877EDF" w:rsidRDefault="009030C0"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52</w:t>
            </w:r>
          </w:p>
        </w:tc>
        <w:tc>
          <w:tcPr>
            <w:tcW w:w="2518" w:type="dxa"/>
            <w:tcBorders>
              <w:top w:val="nil"/>
              <w:left w:val="nil"/>
              <w:bottom w:val="single" w:sz="4" w:space="0" w:color="auto"/>
              <w:right w:val="single" w:sz="4" w:space="0" w:color="auto"/>
            </w:tcBorders>
            <w:vAlign w:val="center"/>
          </w:tcPr>
          <w:p w:rsidR="00992DB1" w:rsidRPr="00877EDF" w:rsidRDefault="009030C0"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Amadeus database</w:t>
            </w:r>
            <w:r w:rsidR="00097299" w:rsidRPr="00877EDF">
              <w:rPr>
                <w:rStyle w:val="FootnoteReference"/>
                <w:rFonts w:ascii="Calibri" w:eastAsia="Times New Roman" w:hAnsi="Calibri" w:cs="Times New Roman"/>
                <w:i/>
                <w:color w:val="000000"/>
                <w:sz w:val="18"/>
                <w:szCs w:val="18"/>
                <w:lang w:val="en-GB" w:eastAsia="en-GB"/>
              </w:rPr>
              <w:footnoteReference w:id="18"/>
            </w: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3.2</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Offshore wind</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minimal</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minimal</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www.windustry.fr</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3.3</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Ocean renewable energy</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2748F" w:rsidP="0092748F">
            <w:pPr>
              <w:spacing w:before="0"/>
              <w:contextualSpacing/>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minimal</w:t>
            </w:r>
            <w:r w:rsidRPr="00877EDF">
              <w:rPr>
                <w:rStyle w:val="FootnoteReference"/>
                <w:rFonts w:ascii="Calibri" w:eastAsia="Times New Roman" w:hAnsi="Calibri" w:cs="Times New Roman"/>
                <w:i/>
                <w:color w:val="000000"/>
                <w:sz w:val="18"/>
                <w:szCs w:val="18"/>
                <w:lang w:val="en-GB" w:eastAsia="en-GB"/>
              </w:rPr>
              <w:footnoteReference w:id="19"/>
            </w:r>
          </w:p>
        </w:tc>
        <w:tc>
          <w:tcPr>
            <w:tcW w:w="1304" w:type="dxa"/>
            <w:gridSpan w:val="2"/>
            <w:tcBorders>
              <w:top w:val="nil"/>
              <w:left w:val="nil"/>
              <w:bottom w:val="single" w:sz="4" w:space="0" w:color="auto"/>
              <w:right w:val="single" w:sz="4" w:space="0" w:color="auto"/>
            </w:tcBorders>
            <w:vAlign w:val="center"/>
          </w:tcPr>
          <w:p w:rsidR="00992DB1" w:rsidRPr="00877EDF" w:rsidRDefault="0092748F" w:rsidP="0092748F">
            <w:pPr>
              <w:spacing w:before="0"/>
              <w:contextualSpacing/>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minimal</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518" w:type="dxa"/>
            <w:tcBorders>
              <w:top w:val="nil"/>
              <w:left w:val="nil"/>
              <w:bottom w:val="single" w:sz="4" w:space="0" w:color="auto"/>
              <w:right w:val="single" w:sz="4" w:space="0" w:color="auto"/>
            </w:tcBorders>
            <w:vAlign w:val="center"/>
          </w:tcPr>
          <w:p w:rsidR="00992DB1" w:rsidRPr="00877EDF" w:rsidRDefault="009030C0" w:rsidP="0092748F">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 xml:space="preserve">Ecorys </w:t>
            </w:r>
            <w:r w:rsidR="00097299" w:rsidRPr="00877EDF">
              <w:rPr>
                <w:rFonts w:ascii="Calibri" w:eastAsia="Times New Roman" w:hAnsi="Calibri" w:cs="Times New Roman"/>
                <w:i/>
                <w:color w:val="000000"/>
                <w:sz w:val="18"/>
                <w:szCs w:val="18"/>
                <w:lang w:val="en-GB" w:eastAsia="en-GB"/>
              </w:rPr>
              <w:t>estimate</w:t>
            </w: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3.4</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Carbon capture and storage</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3.5</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Aggregates mining (sand, gravel, etc.)</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29</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323</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Eurostat,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12</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Ifremer, 2009</w:t>
            </w: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3.6</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Marine minerals mining</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3.7</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Securing fresh water supply (desalination)</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Pu</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Minimal</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Minimal</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Actu-environnement, 2012</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 marine water plants</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Actu-environnement, 2012</w:t>
            </w:r>
          </w:p>
        </w:tc>
      </w:tr>
      <w:tr w:rsidR="00564011" w:rsidRPr="00564011" w:rsidTr="00877EDF">
        <w:trPr>
          <w:trHeight w:val="567"/>
        </w:trPr>
        <w:tc>
          <w:tcPr>
            <w:tcW w:w="7444" w:type="dxa"/>
            <w:gridSpan w:val="4"/>
            <w:tcBorders>
              <w:top w:val="nil"/>
              <w:left w:val="single" w:sz="4" w:space="0" w:color="auto"/>
              <w:bottom w:val="single" w:sz="4" w:space="0" w:color="auto"/>
              <w:right w:val="nil"/>
            </w:tcBorders>
            <w:shd w:val="clear" w:color="000000" w:fill="0070C0"/>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r w:rsidRPr="00877EDF">
              <w:rPr>
                <w:rFonts w:ascii="Calibri" w:eastAsia="Times New Roman" w:hAnsi="Calibri" w:cs="Times New Roman"/>
                <w:b/>
                <w:bCs/>
                <w:color w:val="FFFFFF"/>
                <w:sz w:val="18"/>
                <w:szCs w:val="18"/>
                <w:lang w:val="en-GB" w:eastAsia="en-GB"/>
              </w:rPr>
              <w:t>4. Leisure, working and living</w:t>
            </w:r>
          </w:p>
        </w:tc>
        <w:tc>
          <w:tcPr>
            <w:tcW w:w="1259"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p>
        </w:tc>
        <w:tc>
          <w:tcPr>
            <w:tcW w:w="2505" w:type="dxa"/>
            <w:gridSpan w:val="2"/>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i/>
                <w:color w:val="FFFFFF"/>
                <w:sz w:val="18"/>
                <w:szCs w:val="18"/>
                <w:lang w:val="en-GB" w:eastAsia="en-GB"/>
              </w:rPr>
            </w:pPr>
          </w:p>
        </w:tc>
        <w:tc>
          <w:tcPr>
            <w:tcW w:w="1262"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p>
        </w:tc>
        <w:tc>
          <w:tcPr>
            <w:tcW w:w="2518"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i/>
                <w:color w:val="FFFFFF"/>
                <w:sz w:val="18"/>
                <w:szCs w:val="18"/>
                <w:lang w:val="en-GB" w:eastAsia="en-GB"/>
              </w:rPr>
            </w:pPr>
          </w:p>
        </w:tc>
      </w:tr>
      <w:tr w:rsidR="00564011" w:rsidRPr="007C2E30"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 xml:space="preserve">4.1 </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Coastal tourism</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401</w:t>
            </w:r>
          </w:p>
        </w:tc>
        <w:tc>
          <w:tcPr>
            <w:tcW w:w="1304" w:type="dxa"/>
            <w:gridSpan w:val="2"/>
            <w:tcBorders>
              <w:top w:val="nil"/>
              <w:left w:val="nil"/>
              <w:bottom w:val="single" w:sz="4" w:space="0" w:color="auto"/>
              <w:right w:val="single" w:sz="4" w:space="0" w:color="auto"/>
            </w:tcBorders>
            <w:vAlign w:val="center"/>
          </w:tcPr>
          <w:p w:rsidR="00992DB1" w:rsidRPr="00877EDF" w:rsidRDefault="00794A52" w:rsidP="007F22B2">
            <w:pPr>
              <w:spacing w:before="0"/>
              <w:contextualSpacing/>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65,569</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Eurostat,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13</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920</w:t>
            </w:r>
          </w:p>
        </w:tc>
        <w:tc>
          <w:tcPr>
            <w:tcW w:w="2518" w:type="dxa"/>
            <w:tcBorders>
              <w:top w:val="nil"/>
              <w:left w:val="nil"/>
              <w:bottom w:val="single" w:sz="4" w:space="0" w:color="auto"/>
              <w:right w:val="single" w:sz="4" w:space="0" w:color="auto"/>
            </w:tcBorders>
            <w:vAlign w:val="center"/>
          </w:tcPr>
          <w:p w:rsidR="00992DB1" w:rsidRPr="00877EDF" w:rsidRDefault="00876FD1">
            <w:pPr>
              <w:spacing w:before="0"/>
              <w:contextualSpacing/>
              <w:jc w:val="center"/>
              <w:rPr>
                <w:rFonts w:ascii="Calibri" w:eastAsia="Times New Roman" w:hAnsi="Calibri" w:cs="Times New Roman"/>
                <w:i/>
                <w:color w:val="000000"/>
                <w:sz w:val="18"/>
                <w:szCs w:val="18"/>
                <w:lang w:val="en-GB" w:eastAsia="en-GB"/>
              </w:rPr>
            </w:pPr>
            <w:r w:rsidRPr="00794A52">
              <w:rPr>
                <w:rFonts w:ascii="Calibri" w:eastAsia="Times New Roman" w:hAnsi="Calibri" w:cs="Times New Roman"/>
                <w:i/>
                <w:color w:val="000000"/>
                <w:sz w:val="18"/>
                <w:szCs w:val="18"/>
                <w:lang w:val="en-GB" w:eastAsia="en-GB"/>
              </w:rPr>
              <w:t xml:space="preserve">National statistics </w:t>
            </w:r>
            <w:r w:rsidR="00992DB1" w:rsidRPr="00877EDF">
              <w:rPr>
                <w:rFonts w:ascii="Calibri" w:eastAsia="Times New Roman" w:hAnsi="Calibri" w:cs="Times New Roman"/>
                <w:i/>
                <w:color w:val="000000"/>
                <w:sz w:val="18"/>
                <w:szCs w:val="18"/>
                <w:lang w:val="en-GB" w:eastAsia="en-GB"/>
              </w:rPr>
              <w:t>NACE 2 data for 2010 (data for NACE 55.10, 55.20, 55.30, 55.90), support data Eurostat 2010</w:t>
            </w: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4.2</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Yachting and marinas</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5D25F2"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818</w:t>
            </w:r>
          </w:p>
        </w:tc>
        <w:tc>
          <w:tcPr>
            <w:tcW w:w="1304" w:type="dxa"/>
            <w:gridSpan w:val="2"/>
            <w:tcBorders>
              <w:top w:val="nil"/>
              <w:left w:val="nil"/>
              <w:bottom w:val="single" w:sz="4" w:space="0" w:color="auto"/>
              <w:right w:val="single" w:sz="4" w:space="0" w:color="auto"/>
            </w:tcBorders>
            <w:vAlign w:val="center"/>
          </w:tcPr>
          <w:p w:rsidR="00992DB1" w:rsidRPr="00877EDF" w:rsidRDefault="005D25F2"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33</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180</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ICOMIA statistics, 2011</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2074</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ICOMIA statistics, 2011</w:t>
            </w: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4.3</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Cruise tourism</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96</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w:t>
            </w:r>
            <w:r w:rsidR="00316EA8" w:rsidRPr="00877EDF">
              <w:rPr>
                <w:rFonts w:ascii="Calibri" w:eastAsia="Times New Roman" w:hAnsi="Calibri" w:cs="Times New Roman"/>
                <w:color w:val="000000"/>
                <w:sz w:val="18"/>
                <w:szCs w:val="18"/>
                <w:lang w:val="en-GB" w:eastAsia="en-GB"/>
              </w:rPr>
              <w:t>,</w:t>
            </w:r>
            <w:r w:rsidRPr="00877EDF">
              <w:rPr>
                <w:rFonts w:ascii="Calibri" w:eastAsia="Times New Roman" w:hAnsi="Calibri" w:cs="Times New Roman"/>
                <w:color w:val="000000"/>
                <w:sz w:val="18"/>
                <w:szCs w:val="18"/>
                <w:lang w:val="en-GB" w:eastAsia="en-GB"/>
              </w:rPr>
              <w:t>366</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Eurostat, 2010</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20</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Conseil National du Tourisme, 2010</w:t>
            </w:r>
          </w:p>
        </w:tc>
      </w:tr>
      <w:tr w:rsidR="00564011" w:rsidRPr="00564011" w:rsidTr="00877EDF">
        <w:trPr>
          <w:trHeight w:val="567"/>
        </w:trPr>
        <w:tc>
          <w:tcPr>
            <w:tcW w:w="7444" w:type="dxa"/>
            <w:gridSpan w:val="4"/>
            <w:tcBorders>
              <w:top w:val="nil"/>
              <w:left w:val="single" w:sz="4" w:space="0" w:color="auto"/>
              <w:bottom w:val="single" w:sz="4" w:space="0" w:color="auto"/>
              <w:right w:val="nil"/>
            </w:tcBorders>
            <w:shd w:val="clear" w:color="000000" w:fill="0070C0"/>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r w:rsidRPr="00877EDF">
              <w:rPr>
                <w:rFonts w:ascii="Calibri" w:eastAsia="Times New Roman" w:hAnsi="Calibri" w:cs="Times New Roman"/>
                <w:b/>
                <w:bCs/>
                <w:color w:val="FFFFFF"/>
                <w:sz w:val="18"/>
                <w:szCs w:val="18"/>
                <w:lang w:val="en-GB" w:eastAsia="en-GB"/>
              </w:rPr>
              <w:lastRenderedPageBreak/>
              <w:t>5. Coastal protection</w:t>
            </w:r>
          </w:p>
        </w:tc>
        <w:tc>
          <w:tcPr>
            <w:tcW w:w="1259"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p>
        </w:tc>
        <w:tc>
          <w:tcPr>
            <w:tcW w:w="2505" w:type="dxa"/>
            <w:gridSpan w:val="2"/>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i/>
                <w:color w:val="FFFFFF"/>
                <w:sz w:val="18"/>
                <w:szCs w:val="18"/>
                <w:lang w:val="en-GB" w:eastAsia="en-GB"/>
              </w:rPr>
            </w:pPr>
          </w:p>
        </w:tc>
        <w:tc>
          <w:tcPr>
            <w:tcW w:w="1262"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p>
        </w:tc>
        <w:tc>
          <w:tcPr>
            <w:tcW w:w="2518"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i/>
                <w:color w:val="FFFFFF"/>
                <w:sz w:val="18"/>
                <w:szCs w:val="18"/>
                <w:lang w:val="en-GB" w:eastAsia="en-GB"/>
              </w:rPr>
            </w:pPr>
          </w:p>
        </w:tc>
      </w:tr>
      <w:tr w:rsidR="00564011" w:rsidRPr="00564011" w:rsidTr="00877EDF">
        <w:trPr>
          <w:trHeight w:val="567"/>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5.1</w:t>
            </w:r>
          </w:p>
        </w:tc>
        <w:tc>
          <w:tcPr>
            <w:tcW w:w="4095" w:type="dxa"/>
            <w:tcBorders>
              <w:top w:val="nil"/>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Protection against flooding and erosion, preventing salt water intrusion, protection of habitats</w:t>
            </w:r>
          </w:p>
        </w:tc>
        <w:tc>
          <w:tcPr>
            <w:tcW w:w="1275"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Pu</w:t>
            </w:r>
          </w:p>
        </w:tc>
        <w:tc>
          <w:tcPr>
            <w:tcW w:w="1275" w:type="dxa"/>
            <w:tcBorders>
              <w:top w:val="nil"/>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12</w:t>
            </w:r>
          </w:p>
        </w:tc>
        <w:tc>
          <w:tcPr>
            <w:tcW w:w="1304" w:type="dxa"/>
            <w:gridSpan w:val="2"/>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118</w:t>
            </w:r>
          </w:p>
        </w:tc>
        <w:tc>
          <w:tcPr>
            <w:tcW w:w="2460"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Eurostat COFOG, 2010 and PRC, 2008</w:t>
            </w:r>
          </w:p>
        </w:tc>
        <w:tc>
          <w:tcPr>
            <w:tcW w:w="1262"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157</w:t>
            </w:r>
          </w:p>
        </w:tc>
        <w:tc>
          <w:tcPr>
            <w:tcW w:w="2518" w:type="dxa"/>
            <w:tcBorders>
              <w:top w:val="nil"/>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r w:rsidRPr="00877EDF">
              <w:rPr>
                <w:rFonts w:ascii="Calibri" w:eastAsia="Times New Roman" w:hAnsi="Calibri" w:cs="Times New Roman"/>
                <w:i/>
                <w:color w:val="000000"/>
                <w:sz w:val="18"/>
                <w:szCs w:val="18"/>
                <w:lang w:val="en-GB" w:eastAsia="en-GB"/>
              </w:rPr>
              <w:t>Insee, 2009</w:t>
            </w:r>
          </w:p>
        </w:tc>
      </w:tr>
      <w:tr w:rsidR="00564011" w:rsidRPr="00564011" w:rsidTr="00877EDF">
        <w:trPr>
          <w:trHeight w:val="567"/>
        </w:trPr>
        <w:tc>
          <w:tcPr>
            <w:tcW w:w="7444" w:type="dxa"/>
            <w:gridSpan w:val="4"/>
            <w:tcBorders>
              <w:top w:val="nil"/>
              <w:left w:val="single" w:sz="4" w:space="0" w:color="auto"/>
              <w:bottom w:val="single" w:sz="4" w:space="0" w:color="auto"/>
              <w:right w:val="nil"/>
            </w:tcBorders>
            <w:shd w:val="clear" w:color="000000" w:fill="0070C0"/>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r w:rsidRPr="00877EDF">
              <w:rPr>
                <w:rFonts w:ascii="Calibri" w:eastAsia="Times New Roman" w:hAnsi="Calibri" w:cs="Times New Roman"/>
                <w:b/>
                <w:bCs/>
                <w:color w:val="FFFFFF"/>
                <w:sz w:val="18"/>
                <w:szCs w:val="18"/>
                <w:lang w:val="en-GB" w:eastAsia="en-GB"/>
              </w:rPr>
              <w:t>6. Maritime monitoring and surveillance</w:t>
            </w:r>
          </w:p>
        </w:tc>
        <w:tc>
          <w:tcPr>
            <w:tcW w:w="1259"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p>
        </w:tc>
        <w:tc>
          <w:tcPr>
            <w:tcW w:w="2505" w:type="dxa"/>
            <w:gridSpan w:val="2"/>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i/>
                <w:color w:val="FFFFFF"/>
                <w:sz w:val="18"/>
                <w:szCs w:val="18"/>
                <w:lang w:val="en-GB" w:eastAsia="en-GB"/>
              </w:rPr>
            </w:pPr>
          </w:p>
        </w:tc>
        <w:tc>
          <w:tcPr>
            <w:tcW w:w="1262"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color w:val="FFFFFF"/>
                <w:sz w:val="18"/>
                <w:szCs w:val="18"/>
                <w:lang w:val="en-GB" w:eastAsia="en-GB"/>
              </w:rPr>
            </w:pPr>
          </w:p>
        </w:tc>
        <w:tc>
          <w:tcPr>
            <w:tcW w:w="2518" w:type="dxa"/>
            <w:tcBorders>
              <w:top w:val="nil"/>
              <w:left w:val="single" w:sz="4" w:space="0" w:color="auto"/>
              <w:bottom w:val="single" w:sz="4" w:space="0" w:color="auto"/>
              <w:right w:val="nil"/>
            </w:tcBorders>
            <w:shd w:val="clear" w:color="000000" w:fill="0070C0"/>
            <w:vAlign w:val="center"/>
          </w:tcPr>
          <w:p w:rsidR="00DB44AC" w:rsidRPr="00877EDF" w:rsidRDefault="00DB44AC" w:rsidP="007F22B2">
            <w:pPr>
              <w:spacing w:before="0"/>
              <w:contextualSpacing/>
              <w:jc w:val="left"/>
              <w:rPr>
                <w:rFonts w:ascii="Calibri" w:eastAsia="Times New Roman" w:hAnsi="Calibri" w:cs="Times New Roman"/>
                <w:b/>
                <w:bCs/>
                <w:i/>
                <w:color w:val="FFFFFF"/>
                <w:sz w:val="18"/>
                <w:szCs w:val="18"/>
                <w:lang w:val="en-GB" w:eastAsia="en-GB"/>
              </w:rPr>
            </w:pPr>
          </w:p>
        </w:tc>
      </w:tr>
      <w:tr w:rsidR="00564011" w:rsidRPr="00564011" w:rsidTr="00877EDF">
        <w:trPr>
          <w:trHeight w:val="567"/>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6.1/6.2</w:t>
            </w:r>
          </w:p>
        </w:tc>
        <w:tc>
          <w:tcPr>
            <w:tcW w:w="4095" w:type="dxa"/>
            <w:tcBorders>
              <w:top w:val="single" w:sz="4" w:space="0" w:color="auto"/>
              <w:left w:val="nil"/>
              <w:bottom w:val="single" w:sz="4" w:space="0" w:color="auto"/>
              <w:right w:val="single" w:sz="4" w:space="0" w:color="auto"/>
            </w:tcBorders>
            <w:shd w:val="clear" w:color="auto" w:fill="auto"/>
            <w:vAlign w:val="center"/>
            <w:hideMark/>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 xml:space="preserve">Traceability and security of goods supply chains, prevention and protection against illegal movement of people and goods, </w:t>
            </w:r>
          </w:p>
        </w:tc>
        <w:tc>
          <w:tcPr>
            <w:tcW w:w="1275" w:type="dxa"/>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1304" w:type="dxa"/>
            <w:gridSpan w:val="2"/>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460" w:type="dxa"/>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c>
          <w:tcPr>
            <w:tcW w:w="1262" w:type="dxa"/>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518" w:type="dxa"/>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r>
      <w:tr w:rsidR="00564011" w:rsidRPr="00564011" w:rsidTr="00877EDF">
        <w:trPr>
          <w:trHeight w:val="567"/>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6.3</w:t>
            </w:r>
          </w:p>
        </w:tc>
        <w:tc>
          <w:tcPr>
            <w:tcW w:w="4095" w:type="dxa"/>
            <w:tcBorders>
              <w:top w:val="single" w:sz="4" w:space="0" w:color="auto"/>
              <w:left w:val="nil"/>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left"/>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environmental monitoring</w:t>
            </w:r>
          </w:p>
        </w:tc>
        <w:tc>
          <w:tcPr>
            <w:tcW w:w="1275" w:type="dxa"/>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Pu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1304" w:type="dxa"/>
            <w:gridSpan w:val="2"/>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460" w:type="dxa"/>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c>
          <w:tcPr>
            <w:tcW w:w="1262" w:type="dxa"/>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color w:val="000000"/>
                <w:sz w:val="18"/>
                <w:szCs w:val="18"/>
                <w:lang w:val="en-GB" w:eastAsia="en-GB"/>
              </w:rPr>
            </w:pPr>
            <w:r w:rsidRPr="00877EDF">
              <w:rPr>
                <w:rFonts w:ascii="Calibri" w:eastAsia="Times New Roman" w:hAnsi="Calibri" w:cs="Times New Roman"/>
                <w:color w:val="000000"/>
                <w:sz w:val="18"/>
                <w:szCs w:val="18"/>
                <w:lang w:val="en-GB" w:eastAsia="en-GB"/>
              </w:rPr>
              <w:t>n/a</w:t>
            </w:r>
          </w:p>
        </w:tc>
        <w:tc>
          <w:tcPr>
            <w:tcW w:w="2518" w:type="dxa"/>
            <w:tcBorders>
              <w:top w:val="single" w:sz="4" w:space="0" w:color="auto"/>
              <w:left w:val="nil"/>
              <w:bottom w:val="single" w:sz="4" w:space="0" w:color="auto"/>
              <w:right w:val="single" w:sz="4" w:space="0" w:color="auto"/>
            </w:tcBorders>
            <w:vAlign w:val="center"/>
          </w:tcPr>
          <w:p w:rsidR="00992DB1" w:rsidRPr="00877EDF" w:rsidRDefault="00992DB1" w:rsidP="007F22B2">
            <w:pPr>
              <w:spacing w:before="0"/>
              <w:contextualSpacing/>
              <w:jc w:val="center"/>
              <w:rPr>
                <w:rFonts w:ascii="Calibri" w:eastAsia="Times New Roman" w:hAnsi="Calibri" w:cs="Times New Roman"/>
                <w:i/>
                <w:color w:val="000000"/>
                <w:sz w:val="18"/>
                <w:szCs w:val="18"/>
                <w:lang w:val="en-GB" w:eastAsia="en-GB"/>
              </w:rPr>
            </w:pPr>
          </w:p>
        </w:tc>
      </w:tr>
    </w:tbl>
    <w:bookmarkEnd w:id="13"/>
    <w:p w:rsidR="00751BB4" w:rsidRPr="00992DB1" w:rsidRDefault="00992DB1" w:rsidP="005B74E0">
      <w:pPr>
        <w:rPr>
          <w:rFonts w:ascii="Calibri" w:eastAsia="Times New Roman" w:hAnsi="Calibri" w:cs="Times New Roman"/>
          <w:color w:val="000000"/>
          <w:sz w:val="18"/>
          <w:lang w:val="en-GB" w:eastAsia="en-GB"/>
        </w:rPr>
      </w:pPr>
      <w:r w:rsidRPr="00992DB1">
        <w:rPr>
          <w:rFonts w:ascii="Calibri" w:eastAsia="Times New Roman" w:hAnsi="Calibri" w:cs="Times New Roman"/>
          <w:color w:val="000000"/>
          <w:sz w:val="18"/>
          <w:lang w:val="en-GB" w:eastAsia="en-GB"/>
        </w:rPr>
        <w:t>Note :</w:t>
      </w:r>
      <w:r>
        <w:rPr>
          <w:rFonts w:ascii="Calibri" w:eastAsia="Times New Roman" w:hAnsi="Calibri" w:cs="Times New Roman"/>
          <w:color w:val="000000"/>
          <w:sz w:val="18"/>
          <w:lang w:val="en-GB" w:eastAsia="en-GB"/>
        </w:rPr>
        <w:tab/>
        <w:t>a) activity is mainly predominantly triggered by public or private expenditure. Pr = private, pu = public. NB this does not mean that the activity is carried out by public companies.</w:t>
      </w:r>
    </w:p>
    <w:p w:rsidR="00564011" w:rsidRDefault="00564011" w:rsidP="00864EAB">
      <w:pPr>
        <w:rPr>
          <w:lang w:val="en-GB"/>
        </w:rPr>
        <w:sectPr w:rsidR="00564011" w:rsidSect="00877EDF">
          <w:pgSz w:w="16838" w:h="11906" w:orient="landscape"/>
          <w:pgMar w:top="1134" w:right="1387" w:bottom="1134" w:left="1134" w:header="284" w:footer="93" w:gutter="0"/>
          <w:pgNumType w:start="1"/>
          <w:cols w:space="708"/>
          <w:docGrid w:linePitch="360"/>
        </w:sectPr>
      </w:pPr>
    </w:p>
    <w:p w:rsidR="007A26F3" w:rsidRDefault="00564011" w:rsidP="007A26F3">
      <w:pPr>
        <w:pStyle w:val="Caption"/>
      </w:pPr>
      <w:r>
        <w:lastRenderedPageBreak/>
        <w:t>Q</w:t>
      </w:r>
      <w:r w:rsidR="007A26F3">
        <w:t>ualitative description of the maritime economic activities</w:t>
      </w:r>
    </w:p>
    <w:p w:rsidR="003E2503" w:rsidRDefault="007A26F3" w:rsidP="007A26F3">
      <w:pPr>
        <w:rPr>
          <w:lang w:val="en-GB"/>
        </w:rPr>
      </w:pPr>
      <w:r w:rsidRPr="007A26F3">
        <w:rPr>
          <w:lang w:val="en-GB"/>
        </w:rPr>
        <w:t>In the following text a brief description of the main</w:t>
      </w:r>
      <w:r>
        <w:rPr>
          <w:lang w:val="en-GB"/>
        </w:rPr>
        <w:t xml:space="preserve"> chara</w:t>
      </w:r>
      <w:r w:rsidR="00CB3107">
        <w:rPr>
          <w:lang w:val="en-GB"/>
        </w:rPr>
        <w:t>c</w:t>
      </w:r>
      <w:r>
        <w:rPr>
          <w:lang w:val="en-GB"/>
        </w:rPr>
        <w:t xml:space="preserve">teristics of the maritime economic </w:t>
      </w:r>
      <w:r w:rsidR="007F22B2">
        <w:rPr>
          <w:lang w:val="en-GB"/>
        </w:rPr>
        <w:t>activities</w:t>
      </w:r>
      <w:r>
        <w:rPr>
          <w:lang w:val="en-GB"/>
        </w:rPr>
        <w:t xml:space="preserve"> in the country is presented. </w:t>
      </w:r>
    </w:p>
    <w:p w:rsidR="00AD7638" w:rsidRDefault="00AD7638" w:rsidP="00864EAB">
      <w:pPr>
        <w:rPr>
          <w:lang w:val="en-GB"/>
        </w:rPr>
      </w:pPr>
    </w:p>
    <w:p w:rsidR="003E2503" w:rsidRPr="00225EE7" w:rsidRDefault="00C06D08" w:rsidP="00084EB3">
      <w:pPr>
        <w:rPr>
          <w:b/>
          <w:color w:val="0070C0"/>
          <w:lang w:val="en-GB"/>
        </w:rPr>
      </w:pPr>
      <w:r w:rsidRPr="00225EE7">
        <w:rPr>
          <w:b/>
          <w:color w:val="0070C0"/>
          <w:lang w:val="en-GB"/>
        </w:rPr>
        <w:t>Overview of maritime economic activities in a MS at NUTS-0 level</w:t>
      </w:r>
    </w:p>
    <w:p w:rsidR="00C045D6" w:rsidRDefault="00C045D6" w:rsidP="00864EAB">
      <w:pPr>
        <w:rPr>
          <w:b/>
          <w:color w:val="0070C0"/>
          <w:lang w:val="en-GB"/>
        </w:rPr>
      </w:pPr>
    </w:p>
    <w:p w:rsidR="00886437" w:rsidRPr="00CD2C69" w:rsidRDefault="00886437" w:rsidP="00864EAB">
      <w:pPr>
        <w:rPr>
          <w:b/>
          <w:color w:val="0070C0"/>
          <w:lang w:val="en-GB"/>
        </w:rPr>
      </w:pPr>
      <w:r w:rsidRPr="00CD2C69">
        <w:rPr>
          <w:b/>
          <w:color w:val="0070C0"/>
          <w:lang w:val="en-GB"/>
        </w:rPr>
        <w:t>Shipbuilding</w:t>
      </w:r>
      <w:r w:rsidR="007A26F3">
        <w:rPr>
          <w:b/>
          <w:color w:val="0070C0"/>
          <w:lang w:val="en-GB"/>
        </w:rPr>
        <w:t xml:space="preserve"> and water projects</w:t>
      </w:r>
    </w:p>
    <w:p w:rsidR="00C045D6" w:rsidRPr="00A472D7" w:rsidRDefault="00C045D6" w:rsidP="00C045D6">
      <w:pPr>
        <w:rPr>
          <w:b/>
          <w:i/>
          <w:lang w:val="en-GB"/>
        </w:rPr>
      </w:pPr>
      <w:r w:rsidRPr="00A472D7">
        <w:rPr>
          <w:b/>
          <w:i/>
          <w:lang w:val="en-GB"/>
        </w:rPr>
        <w:t>Shipbuilding and ship repair</w:t>
      </w:r>
    </w:p>
    <w:p w:rsidR="007368F6" w:rsidRPr="007368F6" w:rsidRDefault="007368F6" w:rsidP="00C045D6">
      <w:pPr>
        <w:rPr>
          <w:i/>
          <w:lang w:val="en-GB"/>
        </w:rPr>
      </w:pPr>
      <w:r>
        <w:rPr>
          <w:i/>
          <w:lang w:val="en-GB"/>
        </w:rPr>
        <w:t>Commercial and naval shipbuilding</w:t>
      </w:r>
    </w:p>
    <w:p w:rsidR="00C045D6" w:rsidRPr="00062405" w:rsidRDefault="00C045D6" w:rsidP="00C045D6">
      <w:pPr>
        <w:rPr>
          <w:lang w:val="en-GB"/>
        </w:rPr>
      </w:pPr>
      <w:r w:rsidRPr="00062405">
        <w:rPr>
          <w:lang w:val="en-GB"/>
        </w:rPr>
        <w:t xml:space="preserve">Notwithstanding the decline of European role in global shipbuilding France still has an active position in this sector, partly due to the presence of </w:t>
      </w:r>
      <w:r w:rsidR="004018A2">
        <w:rPr>
          <w:lang w:val="en-GB"/>
        </w:rPr>
        <w:t xml:space="preserve">commercial and </w:t>
      </w:r>
      <w:r w:rsidRPr="00062405">
        <w:rPr>
          <w:lang w:val="en-GB"/>
        </w:rPr>
        <w:t xml:space="preserve">naval shipbuilding. </w:t>
      </w:r>
      <w:r w:rsidR="004018A2">
        <w:rPr>
          <w:lang w:val="en-GB"/>
        </w:rPr>
        <w:t>International markets are source to 30% of the French naval shipbuilding turnover</w:t>
      </w:r>
      <w:r w:rsidR="004018A2">
        <w:rPr>
          <w:rStyle w:val="FootnoteReference"/>
          <w:lang w:val="en-GB"/>
        </w:rPr>
        <w:footnoteReference w:id="20"/>
      </w:r>
      <w:r w:rsidR="004018A2">
        <w:rPr>
          <w:lang w:val="en-GB"/>
        </w:rPr>
        <w:t>. T</w:t>
      </w:r>
      <w:r w:rsidR="0082785B">
        <w:rPr>
          <w:lang w:val="en-GB"/>
        </w:rPr>
        <w:t xml:space="preserve">he French naval shipbuilding </w:t>
      </w:r>
      <w:r w:rsidR="004018A2" w:rsidRPr="004018A2">
        <w:rPr>
          <w:lang w:val="en-GB"/>
        </w:rPr>
        <w:t xml:space="preserve">industry is the third largest in the world and </w:t>
      </w:r>
      <w:r w:rsidR="004018A2">
        <w:rPr>
          <w:lang w:val="en-GB"/>
        </w:rPr>
        <w:t xml:space="preserve">the </w:t>
      </w:r>
      <w:r w:rsidR="004018A2" w:rsidRPr="004018A2">
        <w:rPr>
          <w:lang w:val="en-GB"/>
        </w:rPr>
        <w:t>first</w:t>
      </w:r>
      <w:r w:rsidR="0082785B">
        <w:rPr>
          <w:lang w:val="en-GB"/>
        </w:rPr>
        <w:t xml:space="preserve"> in </w:t>
      </w:r>
      <w:r w:rsidR="004018A2" w:rsidRPr="004018A2">
        <w:rPr>
          <w:lang w:val="en-GB"/>
        </w:rPr>
        <w:t>Europe</w:t>
      </w:r>
      <w:r w:rsidR="004018A2">
        <w:rPr>
          <w:lang w:val="en-GB"/>
        </w:rPr>
        <w:t xml:space="preserve">. </w:t>
      </w:r>
      <w:r w:rsidR="0082785B">
        <w:rPr>
          <w:lang w:val="en-GB"/>
        </w:rPr>
        <w:t xml:space="preserve">According to the Cluster Maritime Français, </w:t>
      </w:r>
      <w:r w:rsidRPr="00062405">
        <w:rPr>
          <w:lang w:val="en-GB"/>
        </w:rPr>
        <w:t xml:space="preserve">French shipyards have developed specific expertise in the construction of more complex units, which are characterised by a higher added value: </w:t>
      </w:r>
      <w:r w:rsidR="0082785B">
        <w:rPr>
          <w:lang w:val="en-GB"/>
        </w:rPr>
        <w:t xml:space="preserve">cruise liners and other passenger </w:t>
      </w:r>
      <w:r w:rsidR="0082785B" w:rsidRPr="0082785B">
        <w:rPr>
          <w:lang w:val="en-GB"/>
        </w:rPr>
        <w:t>ships</w:t>
      </w:r>
      <w:r w:rsidR="0082785B">
        <w:rPr>
          <w:lang w:val="en-GB"/>
        </w:rPr>
        <w:t xml:space="preserve">, </w:t>
      </w:r>
      <w:r w:rsidRPr="00062405">
        <w:rPr>
          <w:lang w:val="en-GB"/>
        </w:rPr>
        <w:t>frigates, support ships, submarines</w:t>
      </w:r>
      <w:r w:rsidR="0082785B" w:rsidRPr="00062405">
        <w:rPr>
          <w:rStyle w:val="FootnoteReference"/>
          <w:lang w:val="en-GB"/>
        </w:rPr>
        <w:footnoteReference w:id="21"/>
      </w:r>
      <w:r w:rsidRPr="00062405">
        <w:rPr>
          <w:lang w:val="en-GB"/>
        </w:rPr>
        <w:t>.</w:t>
      </w:r>
      <w:r w:rsidR="0082785B">
        <w:rPr>
          <w:lang w:val="en-GB"/>
        </w:rPr>
        <w:t xml:space="preserve"> </w:t>
      </w:r>
      <w:r w:rsidRPr="00062405">
        <w:rPr>
          <w:lang w:val="en-GB"/>
        </w:rPr>
        <w:t xml:space="preserve">Such expertise is also progressively applied to offshore fields, particularly to marine </w:t>
      </w:r>
      <w:r w:rsidR="00EF5B13" w:rsidRPr="00062405">
        <w:rPr>
          <w:lang w:val="en-GB"/>
        </w:rPr>
        <w:t>renewables</w:t>
      </w:r>
      <w:r w:rsidR="0082785B">
        <w:rPr>
          <w:rStyle w:val="FootnoteReference"/>
          <w:lang w:val="en-GB"/>
        </w:rPr>
        <w:footnoteReference w:id="22"/>
      </w:r>
      <w:r w:rsidR="00EF5B13" w:rsidRPr="00062405">
        <w:rPr>
          <w:lang w:val="en-GB"/>
        </w:rPr>
        <w:t>.</w:t>
      </w:r>
    </w:p>
    <w:p w:rsidR="00C045D6" w:rsidRPr="00062405" w:rsidRDefault="00C045D6" w:rsidP="00C045D6">
      <w:pPr>
        <w:rPr>
          <w:lang w:val="en-GB"/>
        </w:rPr>
      </w:pPr>
      <w:r w:rsidRPr="00062405">
        <w:rPr>
          <w:lang w:val="en-GB"/>
        </w:rPr>
        <w:t>Direct employment is registered at some 19,000 (the Cluster Maritime Français counts approximately 16,000 people); with significant additional employment among sub-contractors and suppliers (total employment including backward linkages is estimated at 40,000 according to the Cluster Maritime Français</w:t>
      </w:r>
      <w:r w:rsidR="00EF5B13" w:rsidRPr="00062405">
        <w:rPr>
          <w:rStyle w:val="FootnoteReference"/>
          <w:lang w:val="en-GB"/>
        </w:rPr>
        <w:footnoteReference w:id="23"/>
      </w:r>
      <w:r w:rsidRPr="00062405">
        <w:rPr>
          <w:lang w:val="en-GB"/>
        </w:rPr>
        <w:t xml:space="preserve">). </w:t>
      </w:r>
    </w:p>
    <w:p w:rsidR="00C045D6" w:rsidRPr="00062405" w:rsidRDefault="00C045D6" w:rsidP="00C045D6">
      <w:pPr>
        <w:rPr>
          <w:lang w:val="en-GB"/>
        </w:rPr>
      </w:pPr>
      <w:r w:rsidRPr="00062405">
        <w:rPr>
          <w:lang w:val="en-GB"/>
        </w:rPr>
        <w:t>Leading French companies in the sector are: DCNS, STX Europe, CMN (Constructions Mécaniques de Normandie), Piriou, Arno Dunkerque, Cegelec, Damen Shiprepair Brest, GICAN.</w:t>
      </w:r>
    </w:p>
    <w:p w:rsidR="007368F6" w:rsidRDefault="007368F6" w:rsidP="00C045D6">
      <w:pPr>
        <w:rPr>
          <w:i/>
          <w:lang w:val="en-GB"/>
        </w:rPr>
      </w:pPr>
    </w:p>
    <w:p w:rsidR="00062405" w:rsidRPr="007368F6" w:rsidRDefault="007368F6" w:rsidP="00C045D6">
      <w:pPr>
        <w:rPr>
          <w:i/>
          <w:lang w:val="en-GB"/>
        </w:rPr>
      </w:pPr>
      <w:r>
        <w:rPr>
          <w:i/>
          <w:lang w:val="en-GB"/>
        </w:rPr>
        <w:t>Construction of leisure boats</w:t>
      </w:r>
    </w:p>
    <w:p w:rsidR="00C045D6" w:rsidRPr="00062405" w:rsidRDefault="00C045D6" w:rsidP="00062405">
      <w:pPr>
        <w:rPr>
          <w:lang w:val="en-GB"/>
        </w:rPr>
      </w:pPr>
      <w:r w:rsidRPr="00062405">
        <w:rPr>
          <w:lang w:val="en-GB"/>
        </w:rPr>
        <w:t xml:space="preserve">The position of France in the construction of </w:t>
      </w:r>
      <w:r w:rsidRPr="007368F6">
        <w:rPr>
          <w:lang w:val="en-GB"/>
        </w:rPr>
        <w:t>leisure boats</w:t>
      </w:r>
      <w:r w:rsidR="00307F8A">
        <w:rPr>
          <w:lang w:val="en-GB"/>
        </w:rPr>
        <w:t xml:space="preserve"> (such as </w:t>
      </w:r>
      <w:r w:rsidR="00307F8A" w:rsidRPr="00307F8A">
        <w:rPr>
          <w:lang w:val="en-GB"/>
        </w:rPr>
        <w:t xml:space="preserve">sailboats, inflatable boats </w:t>
      </w:r>
      <w:r w:rsidR="00307F8A">
        <w:rPr>
          <w:lang w:val="en-GB"/>
        </w:rPr>
        <w:t xml:space="preserve">and </w:t>
      </w:r>
      <w:r w:rsidR="00307F8A" w:rsidRPr="00307F8A">
        <w:rPr>
          <w:lang w:val="en-GB"/>
        </w:rPr>
        <w:t>motor boat</w:t>
      </w:r>
      <w:r w:rsidR="00307F8A">
        <w:rPr>
          <w:lang w:val="en-GB"/>
        </w:rPr>
        <w:t>s)</w:t>
      </w:r>
      <w:r w:rsidR="00307F8A" w:rsidRPr="00307F8A">
        <w:rPr>
          <w:lang w:val="en-GB"/>
        </w:rPr>
        <w:t xml:space="preserve"> </w:t>
      </w:r>
      <w:r w:rsidRPr="00062405">
        <w:rPr>
          <w:lang w:val="en-GB"/>
        </w:rPr>
        <w:t>is strong</w:t>
      </w:r>
      <w:r w:rsidR="00307F8A">
        <w:rPr>
          <w:rStyle w:val="FootnoteReference"/>
          <w:lang w:val="en-GB"/>
        </w:rPr>
        <w:footnoteReference w:id="24"/>
      </w:r>
      <w:r w:rsidRPr="00062405">
        <w:rPr>
          <w:lang w:val="en-GB"/>
        </w:rPr>
        <w:t>. It is the leading country in this activity in Europe with 63% markets outside France, notably Germany, UK, Spain, Italy and the US. Around 65% of production is sold on foreign markets, mainly Germany, UK, Spain, Italy and the US. The market</w:t>
      </w:r>
      <w:r w:rsidR="00EF5B13" w:rsidRPr="00062405">
        <w:rPr>
          <w:lang w:val="en-GB"/>
        </w:rPr>
        <w:t xml:space="preserve"> </w:t>
      </w:r>
      <w:r w:rsidR="0038256B" w:rsidRPr="00062405">
        <w:rPr>
          <w:lang w:val="en-GB"/>
        </w:rPr>
        <w:t>shows a high level of concentration</w:t>
      </w:r>
      <w:r w:rsidRPr="00062405">
        <w:rPr>
          <w:lang w:val="en-GB"/>
        </w:rPr>
        <w:t>, with the industrial group Bénét</w:t>
      </w:r>
      <w:r w:rsidR="00062405">
        <w:rPr>
          <w:lang w:val="en-GB"/>
        </w:rPr>
        <w:t>e</w:t>
      </w:r>
      <w:r w:rsidRPr="00062405">
        <w:rPr>
          <w:lang w:val="en-GB"/>
        </w:rPr>
        <w:t>au representing more than half of the sector’s employment and turnover</w:t>
      </w:r>
      <w:r w:rsidR="00EF5B13" w:rsidRPr="00062405">
        <w:rPr>
          <w:rStyle w:val="FootnoteReference"/>
          <w:lang w:val="en-GB"/>
        </w:rPr>
        <w:footnoteReference w:id="25"/>
      </w:r>
      <w:r w:rsidRPr="00062405">
        <w:rPr>
          <w:lang w:val="en-GB"/>
        </w:rPr>
        <w:t>.</w:t>
      </w:r>
    </w:p>
    <w:p w:rsidR="00062405" w:rsidRDefault="00062405" w:rsidP="00C045D6">
      <w:pPr>
        <w:rPr>
          <w:b/>
          <w:i/>
          <w:lang w:val="en-GB"/>
        </w:rPr>
      </w:pPr>
    </w:p>
    <w:p w:rsidR="00C045D6" w:rsidRPr="00A472D7" w:rsidRDefault="00C045D6" w:rsidP="00C045D6">
      <w:pPr>
        <w:rPr>
          <w:b/>
          <w:i/>
          <w:lang w:val="en-GB"/>
        </w:rPr>
      </w:pPr>
      <w:r w:rsidRPr="00A472D7">
        <w:rPr>
          <w:b/>
          <w:i/>
          <w:lang w:val="en-GB"/>
        </w:rPr>
        <w:t>Construction of water projects</w:t>
      </w:r>
      <w:r w:rsidR="0038256B">
        <w:rPr>
          <w:rStyle w:val="FootnoteReference"/>
          <w:b/>
          <w:i/>
          <w:lang w:val="en-GB"/>
        </w:rPr>
        <w:footnoteReference w:id="26"/>
      </w:r>
      <w:r w:rsidRPr="00A472D7">
        <w:rPr>
          <w:b/>
          <w:i/>
          <w:lang w:val="en-GB"/>
        </w:rPr>
        <w:t xml:space="preserve"> </w:t>
      </w:r>
    </w:p>
    <w:p w:rsidR="00C045D6" w:rsidRPr="00A472D7" w:rsidRDefault="00C045D6" w:rsidP="00C045D6">
      <w:pPr>
        <w:rPr>
          <w:lang w:val="en-GB"/>
        </w:rPr>
      </w:pPr>
      <w:r w:rsidRPr="00A472D7">
        <w:rPr>
          <w:lang w:val="en-GB"/>
        </w:rPr>
        <w:t>According to Insee 2010 data, this sector em</w:t>
      </w:r>
      <w:r w:rsidR="00EF5B13" w:rsidRPr="00062405">
        <w:rPr>
          <w:lang w:val="en-GB"/>
        </w:rPr>
        <w:t>ploys an average of 4700 people</w:t>
      </w:r>
      <w:r w:rsidR="00EF5B13" w:rsidRPr="00062405">
        <w:rPr>
          <w:rStyle w:val="FootnoteReference"/>
          <w:lang w:val="en-GB"/>
        </w:rPr>
        <w:footnoteReference w:id="27"/>
      </w:r>
      <w:r w:rsidRPr="00A472D7">
        <w:rPr>
          <w:lang w:val="en-GB"/>
        </w:rPr>
        <w:t>. Since 2010, companies have increased their export shares following a decline of the market in the EU. French exports are mostly directed at Northern Afri</w:t>
      </w:r>
      <w:r w:rsidR="00EF5B13" w:rsidRPr="00062405">
        <w:rPr>
          <w:lang w:val="en-GB"/>
        </w:rPr>
        <w:t>ca, Asia and Sub-Saharan Africa</w:t>
      </w:r>
      <w:r w:rsidR="00EF5B13" w:rsidRPr="00062405">
        <w:rPr>
          <w:rStyle w:val="FootnoteReference"/>
          <w:lang w:val="en-GB"/>
        </w:rPr>
        <w:footnoteReference w:id="28"/>
      </w:r>
      <w:r w:rsidRPr="00A472D7">
        <w:rPr>
          <w:lang w:val="en-GB"/>
        </w:rPr>
        <w:t xml:space="preserve">. </w:t>
      </w:r>
    </w:p>
    <w:p w:rsidR="00C045D6" w:rsidRDefault="00C045D6" w:rsidP="00864EAB">
      <w:pPr>
        <w:rPr>
          <w:b/>
          <w:color w:val="0070C0"/>
          <w:lang w:val="en-GB"/>
        </w:rPr>
      </w:pPr>
      <w:r w:rsidRPr="00A472D7">
        <w:rPr>
          <w:lang w:val="en-GB"/>
        </w:rPr>
        <w:lastRenderedPageBreak/>
        <w:t>The main French enterprises in the sector are: Acergy, Atlantique Dragage, Eiffage, Entreprise Tournaud and Saipem.</w:t>
      </w:r>
    </w:p>
    <w:p w:rsidR="00C06D08" w:rsidRPr="00CD2C69" w:rsidRDefault="00C06D08" w:rsidP="00864EAB">
      <w:pPr>
        <w:rPr>
          <w:b/>
          <w:color w:val="0070C0"/>
          <w:lang w:val="en-GB"/>
        </w:rPr>
      </w:pPr>
      <w:r w:rsidRPr="00CD2C69">
        <w:rPr>
          <w:b/>
          <w:color w:val="0070C0"/>
          <w:lang w:val="en-GB"/>
        </w:rPr>
        <w:t xml:space="preserve">Maritime transport </w:t>
      </w:r>
    </w:p>
    <w:p w:rsidR="00C045D6" w:rsidRPr="00A472D7" w:rsidRDefault="00062405" w:rsidP="00C045D6">
      <w:pPr>
        <w:ind w:left="-47"/>
        <w:rPr>
          <w:b/>
          <w:i/>
          <w:lang w:val="en-GB"/>
        </w:rPr>
      </w:pPr>
      <w:r>
        <w:rPr>
          <w:b/>
          <w:i/>
          <w:lang w:val="en-GB"/>
        </w:rPr>
        <w:t>Shipping</w:t>
      </w:r>
    </w:p>
    <w:p w:rsidR="00C045D6" w:rsidRPr="00A949AB" w:rsidRDefault="00C045D6" w:rsidP="00C045D6">
      <w:pPr>
        <w:ind w:left="-47"/>
        <w:rPr>
          <w:lang w:val="en-GB"/>
        </w:rPr>
      </w:pPr>
      <w:r w:rsidRPr="00A949AB">
        <w:rPr>
          <w:lang w:val="en-GB"/>
        </w:rPr>
        <w:t xml:space="preserve">French maritime transport </w:t>
      </w:r>
      <w:r w:rsidR="00062405">
        <w:rPr>
          <w:lang w:val="en-GB"/>
        </w:rPr>
        <w:t xml:space="preserve">of goods </w:t>
      </w:r>
      <w:r w:rsidRPr="00A949AB">
        <w:rPr>
          <w:lang w:val="en-GB"/>
        </w:rPr>
        <w:t xml:space="preserve">has been hit, like most European </w:t>
      </w:r>
      <w:r w:rsidR="007C0999">
        <w:rPr>
          <w:lang w:val="en-GB"/>
        </w:rPr>
        <w:t xml:space="preserve">countries </w:t>
      </w:r>
      <w:r w:rsidRPr="00A949AB">
        <w:rPr>
          <w:lang w:val="en-GB"/>
        </w:rPr>
        <w:t xml:space="preserve">, by the economic crisis. </w:t>
      </w:r>
      <w:r w:rsidR="007C0999">
        <w:rPr>
          <w:lang w:val="en-GB"/>
        </w:rPr>
        <w:t xml:space="preserve">This has resulted in decreased trade flows and corresponding ship movements of goods. </w:t>
      </w:r>
    </w:p>
    <w:p w:rsidR="00C045D6" w:rsidRDefault="00C045D6" w:rsidP="00C045D6">
      <w:pPr>
        <w:ind w:left="-47"/>
        <w:rPr>
          <w:lang w:val="en-GB"/>
        </w:rPr>
      </w:pPr>
      <w:r>
        <w:rPr>
          <w:lang w:val="en-GB"/>
        </w:rPr>
        <w:t xml:space="preserve">In France, 322 million tonnes of seaborne goods were handled in ports in 2011 (Eurostat). This represents 8.6% of the EU27 total. </w:t>
      </w:r>
      <w:r w:rsidRPr="00314412">
        <w:rPr>
          <w:lang w:val="en-GB"/>
        </w:rPr>
        <w:t>The main French seaports are: Dunkerque, Le Havre, Rouen, Nantes / Saint-Nazaire, Bordeaux and Marseille. All together, they treat more than 80% of seaborne trade</w:t>
      </w:r>
      <w:r>
        <w:rPr>
          <w:lang w:val="en-GB"/>
        </w:rPr>
        <w:t xml:space="preserve"> in France</w:t>
      </w:r>
      <w:r w:rsidRPr="00314412">
        <w:rPr>
          <w:lang w:val="en-GB"/>
        </w:rPr>
        <w:t xml:space="preserve">. </w:t>
      </w:r>
      <w:r>
        <w:rPr>
          <w:lang w:val="en-GB"/>
        </w:rPr>
        <w:t xml:space="preserve">In terms of goods handled, Marseille (85 m tonnes, #4), Le Havre (63 m tonnes, #7) and Dunkerque (41 m tonnes, #20 ) are among the 20 largest cargo ports in Europe. </w:t>
      </w:r>
      <w:r w:rsidRPr="00314412">
        <w:rPr>
          <w:lang w:val="en-GB"/>
        </w:rPr>
        <w:t xml:space="preserve">Le Havre </w:t>
      </w:r>
      <w:r>
        <w:rPr>
          <w:lang w:val="en-GB"/>
        </w:rPr>
        <w:t xml:space="preserve">and Marseille are also among the largest container ports of Europe with respectively 2.2 million containers (expressed in TEUs, #9) and 1.1 million containers handled in 2011 (Eurostat). </w:t>
      </w:r>
    </w:p>
    <w:p w:rsidR="00C045D6" w:rsidRPr="000C5FF6" w:rsidRDefault="00C045D6" w:rsidP="00C045D6">
      <w:pPr>
        <w:ind w:left="-47"/>
        <w:rPr>
          <w:lang w:val="en-GB"/>
        </w:rPr>
      </w:pPr>
      <w:r w:rsidRPr="000C5FF6">
        <w:rPr>
          <w:lang w:val="en-GB"/>
        </w:rPr>
        <w:t xml:space="preserve">In 2012, French shipping </w:t>
      </w:r>
      <w:r>
        <w:rPr>
          <w:lang w:val="en-GB"/>
        </w:rPr>
        <w:t xml:space="preserve">companies operated some </w:t>
      </w:r>
      <w:r w:rsidRPr="000C5FF6">
        <w:rPr>
          <w:lang w:val="en-GB"/>
        </w:rPr>
        <w:t xml:space="preserve">900 vessels, of which 581 </w:t>
      </w:r>
      <w:r>
        <w:rPr>
          <w:lang w:val="en-GB"/>
        </w:rPr>
        <w:t xml:space="preserve">sail </w:t>
      </w:r>
      <w:r w:rsidRPr="000C5FF6">
        <w:rPr>
          <w:lang w:val="en-GB"/>
        </w:rPr>
        <w:t xml:space="preserve">under the French flag. </w:t>
      </w:r>
      <w:r>
        <w:rPr>
          <w:lang w:val="en-GB"/>
        </w:rPr>
        <w:t xml:space="preserve">The </w:t>
      </w:r>
      <w:r w:rsidRPr="000C5FF6">
        <w:rPr>
          <w:lang w:val="en-GB"/>
        </w:rPr>
        <w:t xml:space="preserve">French shipping industry </w:t>
      </w:r>
      <w:r>
        <w:rPr>
          <w:lang w:val="en-GB"/>
        </w:rPr>
        <w:t xml:space="preserve">has a </w:t>
      </w:r>
      <w:r w:rsidRPr="000C5FF6">
        <w:rPr>
          <w:lang w:val="en-GB"/>
        </w:rPr>
        <w:t xml:space="preserve">relatively young </w:t>
      </w:r>
      <w:r>
        <w:rPr>
          <w:lang w:val="en-GB"/>
        </w:rPr>
        <w:t>fleet</w:t>
      </w:r>
      <w:r w:rsidRPr="000C5FF6">
        <w:rPr>
          <w:lang w:val="en-GB"/>
        </w:rPr>
        <w:t xml:space="preserve"> with an average </w:t>
      </w:r>
      <w:r>
        <w:rPr>
          <w:lang w:val="en-GB"/>
        </w:rPr>
        <w:t xml:space="preserve">vessel </w:t>
      </w:r>
      <w:r w:rsidRPr="000C5FF6">
        <w:rPr>
          <w:lang w:val="en-GB"/>
        </w:rPr>
        <w:t>age of 8 years</w:t>
      </w:r>
      <w:r>
        <w:rPr>
          <w:lang w:val="en-GB"/>
        </w:rPr>
        <w:t>.</w:t>
      </w:r>
      <w:r w:rsidRPr="000C5FF6">
        <w:rPr>
          <w:lang w:val="en-GB"/>
        </w:rPr>
        <w:t xml:space="preserve"> French shipping companies operate in all sectors: transport of goods, passenger transport, oceanographic research, rolling stock transport, offshore activities and services, assistance and rescue</w:t>
      </w:r>
      <w:r>
        <w:rPr>
          <w:rStyle w:val="FootnoteReference"/>
          <w:lang w:val="en-GB"/>
        </w:rPr>
        <w:footnoteReference w:id="29"/>
      </w:r>
      <w:r w:rsidRPr="000C5FF6">
        <w:rPr>
          <w:lang w:val="en-GB"/>
        </w:rPr>
        <w:t>.</w:t>
      </w:r>
    </w:p>
    <w:p w:rsidR="00C045D6" w:rsidRPr="001B68AA" w:rsidRDefault="00C045D6" w:rsidP="00C045D6">
      <w:pPr>
        <w:ind w:left="-47"/>
        <w:rPr>
          <w:lang w:val="en-GB"/>
        </w:rPr>
      </w:pPr>
      <w:r w:rsidRPr="001B68AA">
        <w:rPr>
          <w:lang w:val="en-GB"/>
        </w:rPr>
        <w:t xml:space="preserve">Leading French companies in the sector are: </w:t>
      </w:r>
    </w:p>
    <w:p w:rsidR="00C045D6" w:rsidRPr="009030C0" w:rsidRDefault="00C045D6" w:rsidP="00C045D6">
      <w:pPr>
        <w:ind w:left="-47"/>
        <w:rPr>
          <w:lang w:val="en-GB"/>
        </w:rPr>
      </w:pPr>
      <w:r>
        <w:rPr>
          <w:lang w:val="en-GB"/>
        </w:rPr>
        <w:t xml:space="preserve">- </w:t>
      </w:r>
      <w:r w:rsidRPr="009030C0">
        <w:rPr>
          <w:lang w:val="en-GB"/>
        </w:rPr>
        <w:t>Warehousing and storage</w:t>
      </w:r>
      <w:r>
        <w:rPr>
          <w:lang w:val="en-GB"/>
        </w:rPr>
        <w:t xml:space="preserve">: Logidis Comptoirs Modernes, Kuehne + Nagel, ND Logistics; </w:t>
      </w:r>
    </w:p>
    <w:p w:rsidR="00C045D6" w:rsidRDefault="00C045D6" w:rsidP="00C045D6">
      <w:pPr>
        <w:ind w:left="-47"/>
        <w:rPr>
          <w:lang w:val="en-GB"/>
        </w:rPr>
      </w:pPr>
      <w:r>
        <w:rPr>
          <w:lang w:val="en-GB"/>
        </w:rPr>
        <w:t xml:space="preserve">- </w:t>
      </w:r>
      <w:r w:rsidRPr="009030C0">
        <w:rPr>
          <w:lang w:val="en-GB"/>
        </w:rPr>
        <w:t>Sea and coastal freight water transport</w:t>
      </w:r>
      <w:r>
        <w:rPr>
          <w:lang w:val="en-GB"/>
        </w:rPr>
        <w:t xml:space="preserve">: Bourbon, Compagnie Méridionale de navigation; </w:t>
      </w:r>
    </w:p>
    <w:p w:rsidR="00C045D6" w:rsidRPr="00A472D7" w:rsidRDefault="00C045D6" w:rsidP="00EF5B13">
      <w:pPr>
        <w:ind w:left="-47"/>
        <w:rPr>
          <w:lang w:val="en-GB"/>
        </w:rPr>
      </w:pPr>
      <w:r>
        <w:rPr>
          <w:lang w:val="en-GB"/>
        </w:rPr>
        <w:t xml:space="preserve">- </w:t>
      </w:r>
      <w:r w:rsidRPr="009030C0">
        <w:rPr>
          <w:lang w:val="en-GB"/>
        </w:rPr>
        <w:t>Cargo handling</w:t>
      </w:r>
      <w:r w:rsidRPr="009030C0">
        <w:rPr>
          <w:lang w:val="en-GB"/>
        </w:rPr>
        <w:tab/>
      </w:r>
      <w:r>
        <w:rPr>
          <w:lang w:val="en-GB"/>
        </w:rPr>
        <w:t xml:space="preserve">: Manutention Terminal Nord, Dockers de Normandie. </w:t>
      </w:r>
    </w:p>
    <w:p w:rsidR="00C045D6" w:rsidRPr="00A472D7" w:rsidRDefault="00C045D6" w:rsidP="00C045D6">
      <w:pPr>
        <w:ind w:left="-47"/>
        <w:rPr>
          <w:i/>
          <w:lang w:val="en-GB"/>
        </w:rPr>
      </w:pPr>
      <w:r w:rsidRPr="00A472D7">
        <w:rPr>
          <w:i/>
          <w:lang w:val="en-GB"/>
        </w:rPr>
        <w:t>Deep sea shipping</w:t>
      </w:r>
      <w:r w:rsidRPr="00A472D7">
        <w:rPr>
          <w:rStyle w:val="FootnoteReference"/>
          <w:i/>
          <w:lang w:val="en-GB"/>
        </w:rPr>
        <w:footnoteReference w:id="30"/>
      </w:r>
    </w:p>
    <w:p w:rsidR="00C045D6" w:rsidRDefault="00C045D6" w:rsidP="00C045D6">
      <w:pPr>
        <w:rPr>
          <w:lang w:val="en-GB"/>
        </w:rPr>
      </w:pPr>
      <w:r>
        <w:rPr>
          <w:lang w:val="en-GB"/>
        </w:rPr>
        <w:t xml:space="preserve">Dee sea shipping represents approximately one third of maritime transport (both in goods and economic activity. It directly employed almost 15000 people in 2010.  </w:t>
      </w:r>
    </w:p>
    <w:p w:rsidR="00C045D6" w:rsidRPr="00A472D7" w:rsidRDefault="00C045D6" w:rsidP="00C045D6">
      <w:pPr>
        <w:ind w:left="-47"/>
        <w:rPr>
          <w:i/>
          <w:lang w:val="en-GB"/>
        </w:rPr>
      </w:pPr>
      <w:r w:rsidRPr="00A472D7">
        <w:rPr>
          <w:i/>
          <w:lang w:val="en-GB"/>
        </w:rPr>
        <w:t>Short sea shipping</w:t>
      </w:r>
      <w:r w:rsidRPr="00A472D7">
        <w:rPr>
          <w:rStyle w:val="FootnoteReference"/>
          <w:i/>
          <w:lang w:val="en-GB"/>
        </w:rPr>
        <w:footnoteReference w:id="31"/>
      </w:r>
    </w:p>
    <w:p w:rsidR="00C06D08" w:rsidRDefault="00C045D6" w:rsidP="00C045D6">
      <w:pPr>
        <w:rPr>
          <w:lang w:val="en-GB"/>
        </w:rPr>
      </w:pPr>
      <w:r>
        <w:rPr>
          <w:lang w:val="en-GB"/>
        </w:rPr>
        <w:t xml:space="preserve">Short sea shipping is important in France. Similar to the EU as a whole the share of </w:t>
      </w:r>
      <w:r w:rsidR="00307F8A">
        <w:rPr>
          <w:lang w:val="en-GB"/>
        </w:rPr>
        <w:t xml:space="preserve">short sea shipping </w:t>
      </w:r>
      <w:r>
        <w:rPr>
          <w:lang w:val="en-GB"/>
        </w:rPr>
        <w:t xml:space="preserve">is close to two thirds of seaborne goods transport. </w:t>
      </w:r>
      <w:r w:rsidR="00B97812">
        <w:rPr>
          <w:lang w:val="en-GB"/>
        </w:rPr>
        <w:t xml:space="preserve">According to Eurostat data, 23 million tonnes of mobile self-propelled units and 2 million of mobile non self-propelled units were transported </w:t>
      </w:r>
      <w:r w:rsidR="004713EE">
        <w:rPr>
          <w:lang w:val="en-GB"/>
        </w:rPr>
        <w:t xml:space="preserve">in 2011 </w:t>
      </w:r>
      <w:r w:rsidR="00B97812">
        <w:rPr>
          <w:lang w:val="en-GB"/>
        </w:rPr>
        <w:t>through short sea shipping in France</w:t>
      </w:r>
      <w:r w:rsidR="004713EE">
        <w:rPr>
          <w:rStyle w:val="FootnoteReference"/>
          <w:lang w:val="en-GB"/>
        </w:rPr>
        <w:footnoteReference w:id="32"/>
      </w:r>
      <w:r w:rsidR="00B97812">
        <w:rPr>
          <w:lang w:val="en-GB"/>
        </w:rPr>
        <w:t xml:space="preserve">. </w:t>
      </w:r>
      <w:r>
        <w:rPr>
          <w:lang w:val="en-GB"/>
        </w:rPr>
        <w:t xml:space="preserve">Some differences can be observed for individual ports with Marseille showing a relatively stronger share of </w:t>
      </w:r>
      <w:r w:rsidR="00307F8A">
        <w:rPr>
          <w:lang w:val="en-GB"/>
        </w:rPr>
        <w:t>short sea shipping</w:t>
      </w:r>
      <w:r>
        <w:rPr>
          <w:lang w:val="en-GB"/>
        </w:rPr>
        <w:t xml:space="preserve"> in comparison with Le Havre and Dunkerque</w:t>
      </w:r>
      <w:r>
        <w:rPr>
          <w:rStyle w:val="FootnoteReference"/>
          <w:lang w:val="en-GB"/>
        </w:rPr>
        <w:footnoteReference w:id="33"/>
      </w:r>
      <w:r>
        <w:rPr>
          <w:lang w:val="en-GB"/>
        </w:rPr>
        <w:t xml:space="preserve">.    </w:t>
      </w:r>
    </w:p>
    <w:p w:rsidR="00C045D6" w:rsidRPr="00A472D7" w:rsidRDefault="00C045D6" w:rsidP="00C045D6">
      <w:pPr>
        <w:ind w:left="-47"/>
        <w:rPr>
          <w:i/>
          <w:lang w:val="en-GB"/>
        </w:rPr>
      </w:pPr>
      <w:r w:rsidRPr="00A472D7">
        <w:rPr>
          <w:b/>
          <w:i/>
          <w:lang w:val="en-GB"/>
        </w:rPr>
        <w:t xml:space="preserve">Passenger ferry </w:t>
      </w:r>
    </w:p>
    <w:p w:rsidR="00C045D6" w:rsidRDefault="0009467F" w:rsidP="00C045D6">
      <w:pPr>
        <w:ind w:left="-47"/>
        <w:rPr>
          <w:lang w:val="en-GB"/>
        </w:rPr>
      </w:pPr>
      <w:r>
        <w:rPr>
          <w:lang w:val="en-GB"/>
        </w:rPr>
        <w:t>Traditionally, p</w:t>
      </w:r>
      <w:r w:rsidR="00C045D6">
        <w:rPr>
          <w:lang w:val="en-GB"/>
        </w:rPr>
        <w:t xml:space="preserve">assenger ferry transport services in France </w:t>
      </w:r>
      <w:r>
        <w:rPr>
          <w:lang w:val="en-GB"/>
        </w:rPr>
        <w:t xml:space="preserve">cover three geographic areas: the English Channel, Corsica and the Mediterranean area. </w:t>
      </w:r>
      <w:r w:rsidR="00C045D6">
        <w:rPr>
          <w:lang w:val="en-GB"/>
        </w:rPr>
        <w:t>In addition ferry services can be found along the Atlantic coast although at a lower level.</w:t>
      </w:r>
    </w:p>
    <w:p w:rsidR="00C045D6" w:rsidRDefault="00C045D6" w:rsidP="00C045D6">
      <w:pPr>
        <w:ind w:left="-47"/>
        <w:rPr>
          <w:lang w:val="en-GB"/>
        </w:rPr>
      </w:pPr>
      <w:r>
        <w:rPr>
          <w:lang w:val="en-GB"/>
        </w:rPr>
        <w:lastRenderedPageBreak/>
        <w:t>As for Europe, t</w:t>
      </w:r>
      <w:r w:rsidRPr="00E46EF8">
        <w:rPr>
          <w:lang w:val="en-GB"/>
        </w:rPr>
        <w:t xml:space="preserve">he </w:t>
      </w:r>
      <w:r>
        <w:rPr>
          <w:lang w:val="en-GB"/>
        </w:rPr>
        <w:t>French passenger ferry sector has been facing a decrease in demand in the last decade, partly due to the economic development but also to the increase of low cost airlines (and for the Channel traffic the construction of the Eurotunnel). For example, a</w:t>
      </w:r>
      <w:r w:rsidRPr="00B300DB">
        <w:rPr>
          <w:lang w:val="en-GB"/>
        </w:rPr>
        <w:t xml:space="preserve">ccording to the French governmental Direction for Maritime Affairs, since 2007 cross-Channel ferries have lost 1.6 million passengers. In 2011, traffic fell by 1.8%, in line with the situation of British and Irish </w:t>
      </w:r>
      <w:r w:rsidR="007C0999" w:rsidRPr="00B300DB">
        <w:rPr>
          <w:lang w:val="en-GB"/>
        </w:rPr>
        <w:t>economies.</w:t>
      </w:r>
      <w:r w:rsidR="007C0999">
        <w:rPr>
          <w:lang w:val="en-GB"/>
        </w:rPr>
        <w:t xml:space="preserve"> More recent data seems to indicate that demand is still under pressure although it seems to have stabilised recently (see, e.g. DFDS 2012 Annual Report). </w:t>
      </w:r>
      <w:r>
        <w:rPr>
          <w:lang w:val="en-GB"/>
        </w:rPr>
        <w:t xml:space="preserve">.Four major events have marked the French ferry market as of recent: </w:t>
      </w:r>
      <w:r w:rsidRPr="0004338A">
        <w:rPr>
          <w:lang w:val="en-GB"/>
        </w:rPr>
        <w:t xml:space="preserve">the </w:t>
      </w:r>
      <w:r>
        <w:rPr>
          <w:lang w:val="en-GB"/>
        </w:rPr>
        <w:t>bankruptcy</w:t>
      </w:r>
      <w:r w:rsidRPr="0004338A">
        <w:rPr>
          <w:lang w:val="en-GB"/>
        </w:rPr>
        <w:t xml:space="preserve"> of SeaFrance</w:t>
      </w:r>
      <w:r>
        <w:rPr>
          <w:lang w:val="en-GB"/>
        </w:rPr>
        <w:t xml:space="preserve"> in 2012 (followed by a possible resurgence of its activities under Eurotunnel)</w:t>
      </w:r>
      <w:r w:rsidRPr="0004338A">
        <w:rPr>
          <w:lang w:val="en-GB"/>
        </w:rPr>
        <w:t xml:space="preserve">, the </w:t>
      </w:r>
      <w:r>
        <w:rPr>
          <w:lang w:val="en-GB"/>
        </w:rPr>
        <w:t xml:space="preserve">merger between </w:t>
      </w:r>
      <w:r w:rsidRPr="0004338A">
        <w:rPr>
          <w:lang w:val="en-GB"/>
        </w:rPr>
        <w:t>LD Lines and DFDS and the economic difficulties of Brittany Ferries</w:t>
      </w:r>
      <w:r>
        <w:rPr>
          <w:rStyle w:val="FootnoteReference"/>
          <w:lang w:val="en-GB"/>
        </w:rPr>
        <w:footnoteReference w:id="34"/>
      </w:r>
    </w:p>
    <w:p w:rsidR="00C045D6" w:rsidRDefault="00C045D6" w:rsidP="00C045D6">
      <w:pPr>
        <w:ind w:left="-47"/>
        <w:rPr>
          <w:lang w:val="en-GB"/>
        </w:rPr>
      </w:pPr>
      <w:r>
        <w:rPr>
          <w:lang w:val="en-GB"/>
        </w:rPr>
        <w:t xml:space="preserve">The </w:t>
      </w:r>
      <w:r w:rsidR="0009467F">
        <w:rPr>
          <w:lang w:val="en-GB"/>
        </w:rPr>
        <w:t xml:space="preserve">decline </w:t>
      </w:r>
      <w:r>
        <w:rPr>
          <w:lang w:val="en-GB"/>
        </w:rPr>
        <w:t xml:space="preserve">of ferry transport has a direct impact on the labour market for French sailors as ferries under French flag are the first source of employment for this group. </w:t>
      </w:r>
    </w:p>
    <w:p w:rsidR="00C045D6" w:rsidRDefault="00C045D6" w:rsidP="00C045D6">
      <w:pPr>
        <w:rPr>
          <w:lang w:val="en-GB"/>
        </w:rPr>
      </w:pPr>
      <w:r w:rsidRPr="00E9783B">
        <w:rPr>
          <w:lang w:val="en-GB"/>
        </w:rPr>
        <w:t xml:space="preserve">The Mediterranean market </w:t>
      </w:r>
      <w:r>
        <w:rPr>
          <w:lang w:val="en-GB"/>
        </w:rPr>
        <w:t xml:space="preserve">has proved to be more </w:t>
      </w:r>
      <w:r w:rsidRPr="00E9783B">
        <w:rPr>
          <w:lang w:val="en-GB"/>
        </w:rPr>
        <w:t xml:space="preserve">resilient to the effects of the </w:t>
      </w:r>
      <w:r>
        <w:rPr>
          <w:lang w:val="en-GB"/>
        </w:rPr>
        <w:t xml:space="preserve">economic crisis than the Channel, although here an incidental cause, the Arab Spring, </w:t>
      </w:r>
      <w:r w:rsidRPr="0004338A">
        <w:rPr>
          <w:lang w:val="en-GB"/>
        </w:rPr>
        <w:t>impacted passenger traffic between Europe and the Maghreb region</w:t>
      </w:r>
      <w:r>
        <w:rPr>
          <w:lang w:val="en-GB"/>
        </w:rPr>
        <w:t xml:space="preserve">. Despite the fact that the past year has been characterised by a decline in passenger traffic, within this market Corsica remains one of the </w:t>
      </w:r>
      <w:r w:rsidRPr="00E9783B">
        <w:rPr>
          <w:lang w:val="en-GB"/>
        </w:rPr>
        <w:t>few destinations</w:t>
      </w:r>
      <w:r>
        <w:rPr>
          <w:lang w:val="en-GB"/>
        </w:rPr>
        <w:t xml:space="preserve"> in Mediterranean Europe to display </w:t>
      </w:r>
      <w:r w:rsidRPr="00E9783B">
        <w:rPr>
          <w:lang w:val="en-GB"/>
        </w:rPr>
        <w:t>positive results in terms of traffic.</w:t>
      </w:r>
      <w:r>
        <w:rPr>
          <w:lang w:val="en-GB"/>
        </w:rPr>
        <w:t xml:space="preserve"> Corsica Ferries and SNCM-CMN are the two major companies dominating passenger ferry transport to Corsica</w:t>
      </w:r>
      <w:r>
        <w:rPr>
          <w:rStyle w:val="FootnoteReference"/>
          <w:lang w:val="en-GB"/>
        </w:rPr>
        <w:footnoteReference w:id="35"/>
      </w:r>
      <w:r>
        <w:rPr>
          <w:lang w:val="en-GB"/>
        </w:rPr>
        <w:t xml:space="preserve">. </w:t>
      </w:r>
    </w:p>
    <w:p w:rsidR="00C06D08" w:rsidRDefault="00C045D6" w:rsidP="00C045D6">
      <w:pPr>
        <w:rPr>
          <w:lang w:val="en-GB"/>
        </w:rPr>
      </w:pPr>
      <w:r>
        <w:rPr>
          <w:lang w:val="en-GB"/>
        </w:rPr>
        <w:t>As for the Atlantic, t</w:t>
      </w:r>
      <w:r w:rsidRPr="00E9783B">
        <w:rPr>
          <w:lang w:val="en-GB"/>
        </w:rPr>
        <w:t>wo Fr</w:t>
      </w:r>
      <w:r>
        <w:rPr>
          <w:lang w:val="en-GB"/>
        </w:rPr>
        <w:t xml:space="preserve">ench companies offer passenger transport services along the Atlantic coast to Spain: </w:t>
      </w:r>
      <w:r w:rsidRPr="00E9783B">
        <w:rPr>
          <w:lang w:val="en-GB"/>
        </w:rPr>
        <w:t>Brittany Ferries</w:t>
      </w:r>
      <w:r>
        <w:rPr>
          <w:lang w:val="en-GB"/>
        </w:rPr>
        <w:t xml:space="preserve"> a</w:t>
      </w:r>
      <w:r w:rsidRPr="00E9783B">
        <w:rPr>
          <w:lang w:val="en-GB"/>
        </w:rPr>
        <w:t>nd LD Lines</w:t>
      </w:r>
      <w:r>
        <w:rPr>
          <w:lang w:val="en-GB"/>
        </w:rPr>
        <w:t>.</w:t>
      </w:r>
    </w:p>
    <w:p w:rsidR="00C045D6" w:rsidRPr="00A472D7" w:rsidRDefault="00C045D6" w:rsidP="00C045D6">
      <w:pPr>
        <w:ind w:left="-47"/>
        <w:rPr>
          <w:i/>
          <w:lang w:val="en-GB"/>
        </w:rPr>
      </w:pPr>
      <w:r w:rsidRPr="00A472D7">
        <w:rPr>
          <w:b/>
          <w:i/>
          <w:lang w:val="en-GB"/>
        </w:rPr>
        <w:t>Inland waterway transport</w:t>
      </w:r>
    </w:p>
    <w:p w:rsidR="00C045D6" w:rsidRPr="00A949AB" w:rsidRDefault="00C045D6" w:rsidP="00C045D6">
      <w:pPr>
        <w:ind w:left="-47"/>
        <w:rPr>
          <w:rStyle w:val="hps"/>
          <w:rFonts w:cstheme="minorHAnsi"/>
          <w:lang w:val="en-GB"/>
        </w:rPr>
      </w:pPr>
      <w:r w:rsidRPr="00F41E58">
        <w:rPr>
          <w:rFonts w:cstheme="minorHAnsi"/>
          <w:lang w:val="en-GB"/>
        </w:rPr>
        <w:t xml:space="preserve">The French Ministry for Sustainable Development presents inland waterway transport of goods as </w:t>
      </w:r>
      <w:r w:rsidRPr="00A949AB">
        <w:rPr>
          <w:rStyle w:val="hps"/>
          <w:rFonts w:cstheme="minorHAnsi"/>
          <w:color w:val="222222"/>
          <w:lang w:val="en"/>
        </w:rPr>
        <w:t>cheap</w:t>
      </w:r>
      <w:r w:rsidRPr="00A949AB">
        <w:rPr>
          <w:rFonts w:cstheme="minorHAnsi"/>
          <w:color w:val="222222"/>
          <w:lang w:val="en"/>
        </w:rPr>
        <w:t xml:space="preserve">, clean, </w:t>
      </w:r>
      <w:r w:rsidRPr="00A949AB">
        <w:rPr>
          <w:rStyle w:val="hps"/>
          <w:rFonts w:cstheme="minorHAnsi"/>
          <w:color w:val="222222"/>
          <w:lang w:val="en"/>
        </w:rPr>
        <w:t>reliable and safe.</w:t>
      </w:r>
      <w:r w:rsidRPr="00A949AB">
        <w:rPr>
          <w:rFonts w:cstheme="minorHAnsi"/>
          <w:color w:val="222222"/>
          <w:lang w:val="en"/>
        </w:rPr>
        <w:t xml:space="preserve"> It is referred to as a valuable alternative </w:t>
      </w:r>
      <w:r w:rsidRPr="00A949AB">
        <w:rPr>
          <w:rStyle w:val="hps"/>
          <w:rFonts w:cstheme="minorHAnsi"/>
          <w:color w:val="222222"/>
          <w:lang w:val="en"/>
        </w:rPr>
        <w:t>to road transport</w:t>
      </w:r>
      <w:r w:rsidRPr="00A949AB">
        <w:rPr>
          <w:rFonts w:cstheme="minorHAnsi"/>
          <w:color w:val="222222"/>
          <w:lang w:val="en"/>
        </w:rPr>
        <w:t xml:space="preserve"> </w:t>
      </w:r>
      <w:r w:rsidRPr="00A949AB">
        <w:rPr>
          <w:rStyle w:val="hps"/>
          <w:rFonts w:cstheme="minorHAnsi"/>
          <w:color w:val="222222"/>
          <w:lang w:val="en"/>
        </w:rPr>
        <w:t>on</w:t>
      </w:r>
      <w:r w:rsidRPr="00A949AB">
        <w:rPr>
          <w:rFonts w:cstheme="minorHAnsi"/>
          <w:color w:val="222222"/>
          <w:lang w:val="en"/>
        </w:rPr>
        <w:t xml:space="preserve"> </w:t>
      </w:r>
      <w:r w:rsidRPr="00A949AB">
        <w:rPr>
          <w:rStyle w:val="hps"/>
          <w:rFonts w:cstheme="minorHAnsi"/>
          <w:color w:val="222222"/>
          <w:lang w:val="en"/>
        </w:rPr>
        <w:t>particularly</w:t>
      </w:r>
      <w:r w:rsidRPr="00A949AB">
        <w:rPr>
          <w:rFonts w:cstheme="minorHAnsi"/>
          <w:color w:val="222222"/>
          <w:lang w:val="en"/>
        </w:rPr>
        <w:t xml:space="preserve"> </w:t>
      </w:r>
      <w:r w:rsidRPr="00A949AB">
        <w:rPr>
          <w:rStyle w:val="hps"/>
          <w:rFonts w:cstheme="minorHAnsi"/>
          <w:color w:val="222222"/>
          <w:lang w:val="en"/>
        </w:rPr>
        <w:t>congested</w:t>
      </w:r>
      <w:r w:rsidRPr="00A949AB">
        <w:rPr>
          <w:rFonts w:cstheme="minorHAnsi"/>
          <w:color w:val="222222"/>
          <w:lang w:val="en"/>
        </w:rPr>
        <w:t xml:space="preserve"> </w:t>
      </w:r>
      <w:r w:rsidRPr="00A949AB">
        <w:rPr>
          <w:rStyle w:val="hps"/>
          <w:rFonts w:cstheme="minorHAnsi"/>
          <w:color w:val="222222"/>
          <w:lang w:val="en"/>
        </w:rPr>
        <w:t>corridors</w:t>
      </w:r>
      <w:r w:rsidRPr="00A949AB">
        <w:rPr>
          <w:rStyle w:val="FootnoteReference"/>
          <w:rFonts w:cstheme="minorHAnsi"/>
          <w:color w:val="222222"/>
          <w:lang w:val="en"/>
        </w:rPr>
        <w:footnoteReference w:id="36"/>
      </w:r>
      <w:r w:rsidRPr="00A949AB">
        <w:rPr>
          <w:rFonts w:cstheme="minorHAnsi"/>
          <w:color w:val="222222"/>
          <w:lang w:val="en"/>
        </w:rPr>
        <w:t xml:space="preserve">. </w:t>
      </w:r>
    </w:p>
    <w:p w:rsidR="00C045D6" w:rsidRDefault="00C045D6" w:rsidP="00C045D6">
      <w:pPr>
        <w:ind w:left="-47"/>
        <w:rPr>
          <w:lang w:val="en-GB"/>
        </w:rPr>
      </w:pPr>
      <w:r>
        <w:rPr>
          <w:lang w:val="en-GB"/>
        </w:rPr>
        <w:t>Some 68,400 tonnes of goods were transported by inland waterways in France, putting the country at the 4</w:t>
      </w:r>
      <w:r w:rsidRPr="008968FB">
        <w:rPr>
          <w:vertAlign w:val="superscript"/>
          <w:lang w:val="en-GB"/>
        </w:rPr>
        <w:t>th</w:t>
      </w:r>
      <w:r>
        <w:rPr>
          <w:lang w:val="en-GB"/>
        </w:rPr>
        <w:t xml:space="preserve"> place in Europe after Germany, Belgium and the Netherlands (Eurostat). The three most important IWT regions having direct sea access in France that can be discerned in France are: the Rhone/Saone basin, the Nord Pas de Calais basin and the Seine/Oise basin. Of these, the Seine basin (linking Paris to le Havre) is the waterway with the heaviest traffic, followed by Nord Pas the Calais and the Rhone</w:t>
      </w:r>
      <w:r>
        <w:rPr>
          <w:rStyle w:val="FootnoteReference"/>
          <w:lang w:val="en-GB"/>
        </w:rPr>
        <w:footnoteReference w:id="37"/>
      </w:r>
      <w:r>
        <w:rPr>
          <w:lang w:val="en-GB"/>
        </w:rPr>
        <w:t xml:space="preserve">. Inland waterway passenger transport plays a relatively limited role in IWT. </w:t>
      </w:r>
    </w:p>
    <w:p w:rsidR="00C045D6" w:rsidRDefault="00C045D6" w:rsidP="00C045D6">
      <w:pPr>
        <w:ind w:left="-47"/>
        <w:rPr>
          <w:lang w:val="en-GB"/>
        </w:rPr>
      </w:pPr>
      <w:r>
        <w:rPr>
          <w:lang w:val="en-GB"/>
        </w:rPr>
        <w:t>Inland waterway freight transport in France has undergone significant decline since when, in t</w:t>
      </w:r>
      <w:r w:rsidRPr="00932FE6">
        <w:rPr>
          <w:lang w:val="en-GB"/>
        </w:rPr>
        <w:t>he early 1970s, it accounted for 110 million tonnes and 14 bil</w:t>
      </w:r>
      <w:r>
        <w:rPr>
          <w:lang w:val="en-GB"/>
        </w:rPr>
        <w:t>lion tonne-kilometres</w:t>
      </w:r>
      <w:r>
        <w:rPr>
          <w:rStyle w:val="FootnoteReference"/>
          <w:lang w:val="en-GB"/>
        </w:rPr>
        <w:footnoteReference w:id="38"/>
      </w:r>
      <w:r>
        <w:rPr>
          <w:lang w:val="en-GB"/>
        </w:rPr>
        <w:t xml:space="preserve">. </w:t>
      </w:r>
      <w:r w:rsidRPr="00932FE6">
        <w:rPr>
          <w:lang w:val="en-GB"/>
        </w:rPr>
        <w:t xml:space="preserve">This decline can be explained by </w:t>
      </w:r>
      <w:r>
        <w:rPr>
          <w:lang w:val="en-GB"/>
        </w:rPr>
        <w:t xml:space="preserve">at least two structural changes: </w:t>
      </w:r>
      <w:r w:rsidRPr="00932FE6">
        <w:rPr>
          <w:lang w:val="en-GB"/>
        </w:rPr>
        <w:t xml:space="preserve">the decline of traditional heavy industries </w:t>
      </w:r>
      <w:r>
        <w:rPr>
          <w:lang w:val="en-GB"/>
        </w:rPr>
        <w:t>the</w:t>
      </w:r>
      <w:r w:rsidRPr="00932FE6">
        <w:rPr>
          <w:lang w:val="en-GB"/>
        </w:rPr>
        <w:t xml:space="preserve"> growing importance of </w:t>
      </w:r>
      <w:r>
        <w:rPr>
          <w:lang w:val="en-GB"/>
        </w:rPr>
        <w:t>faster means of transport</w:t>
      </w:r>
      <w:r w:rsidRPr="00932FE6">
        <w:rPr>
          <w:lang w:val="en-GB"/>
        </w:rPr>
        <w:t>.</w:t>
      </w:r>
      <w:r>
        <w:rPr>
          <w:lang w:val="en-GB"/>
        </w:rPr>
        <w:t xml:space="preserve"> The sector lost competitiveness because of an ageing network of vessels, the rigidity of professional practices, an obsolete legislative and regulatory framework and, in general terms, the poor technical integration into modern supply chains. </w:t>
      </w:r>
    </w:p>
    <w:p w:rsidR="00A82B87" w:rsidRPr="00EE6C34" w:rsidRDefault="00C045D6" w:rsidP="00C045D6">
      <w:pPr>
        <w:rPr>
          <w:b/>
          <w:color w:val="002060"/>
          <w:lang w:val="en-GB"/>
        </w:rPr>
      </w:pPr>
      <w:r>
        <w:rPr>
          <w:lang w:val="en-GB"/>
        </w:rPr>
        <w:t xml:space="preserve">The modernization of the sector brought recovery since the middle 1990s, with the activity reaching up to </w:t>
      </w:r>
      <w:r w:rsidRPr="00932FE6">
        <w:rPr>
          <w:lang w:val="en-GB"/>
        </w:rPr>
        <w:t>5.8 to 7.9 billion tonne-kilometres in 2005</w:t>
      </w:r>
      <w:r w:rsidR="004228C8">
        <w:rPr>
          <w:lang w:val="en-GB"/>
        </w:rPr>
        <w:t xml:space="preserve">. </w:t>
      </w:r>
      <w:r>
        <w:rPr>
          <w:lang w:val="en-GB"/>
        </w:rPr>
        <w:t xml:space="preserve">Such positive development is the result of </w:t>
      </w:r>
      <w:r w:rsidR="004228C8">
        <w:rPr>
          <w:lang w:val="en-GB"/>
        </w:rPr>
        <w:t xml:space="preserve">a number of specific measures </w:t>
      </w:r>
      <w:r>
        <w:rPr>
          <w:lang w:val="en-GB"/>
        </w:rPr>
        <w:t xml:space="preserve">within the sector: reduction of overcapacity, a modernised legislative and regulatory framework, a significant effort from the French </w:t>
      </w:r>
      <w:r w:rsidRPr="00A949AB">
        <w:rPr>
          <w:i/>
          <w:lang w:val="en-GB"/>
        </w:rPr>
        <w:t>Voies Navigables de France</w:t>
      </w:r>
      <w:r>
        <w:rPr>
          <w:rStyle w:val="FootnoteReference"/>
          <w:i/>
          <w:lang w:val="en-GB"/>
        </w:rPr>
        <w:footnoteReference w:id="39"/>
      </w:r>
      <w:r>
        <w:rPr>
          <w:lang w:val="en-GB"/>
        </w:rPr>
        <w:t xml:space="preserve"> in the maintenance and restoration of the </w:t>
      </w:r>
      <w:r>
        <w:rPr>
          <w:lang w:val="en-GB"/>
        </w:rPr>
        <w:lastRenderedPageBreak/>
        <w:t>network</w:t>
      </w:r>
      <w:r>
        <w:rPr>
          <w:rStyle w:val="FootnoteReference"/>
          <w:lang w:val="en-GB"/>
        </w:rPr>
        <w:footnoteReference w:id="40"/>
      </w:r>
      <w:r>
        <w:rPr>
          <w:lang w:val="en-GB"/>
        </w:rPr>
        <w:t>.</w:t>
      </w:r>
      <w:r w:rsidRPr="00EE6C34">
        <w:rPr>
          <w:lang w:val="en-GB"/>
        </w:rPr>
        <w:t>The main actors in the sector are: CCES Contargo Container Escaut, CIE Fluviale Transport de Gaz, Coalis, Compagnie Fluviale de Transport, Compagnie Française de navigation Rhenane.</w:t>
      </w:r>
    </w:p>
    <w:p w:rsidR="00C045D6" w:rsidRDefault="00C045D6" w:rsidP="00864EAB">
      <w:pPr>
        <w:rPr>
          <w:b/>
          <w:color w:val="0070C0"/>
          <w:lang w:val="en-GB"/>
        </w:rPr>
      </w:pPr>
    </w:p>
    <w:p w:rsidR="00C06D08" w:rsidRPr="00CD2C69" w:rsidRDefault="00A82B87" w:rsidP="00864EAB">
      <w:pPr>
        <w:rPr>
          <w:b/>
          <w:color w:val="0070C0"/>
          <w:lang w:val="en-GB"/>
        </w:rPr>
      </w:pPr>
      <w:r w:rsidRPr="00CD2C69">
        <w:rPr>
          <w:b/>
          <w:color w:val="0070C0"/>
          <w:lang w:val="en-GB"/>
        </w:rPr>
        <w:t>Food, nutrition, health and eco-system services</w:t>
      </w:r>
    </w:p>
    <w:p w:rsidR="00C045D6" w:rsidRPr="0038256B" w:rsidRDefault="00C045D6" w:rsidP="00C045D6">
      <w:pPr>
        <w:ind w:left="-47"/>
        <w:rPr>
          <w:b/>
          <w:i/>
          <w:lang w:val="en-GB"/>
        </w:rPr>
      </w:pPr>
      <w:r w:rsidRPr="00A472D7">
        <w:rPr>
          <w:b/>
          <w:i/>
          <w:lang w:val="en-GB"/>
        </w:rPr>
        <w:t>C</w:t>
      </w:r>
      <w:r w:rsidR="0038256B">
        <w:rPr>
          <w:b/>
          <w:i/>
          <w:lang w:val="en-GB"/>
        </w:rPr>
        <w:t xml:space="preserve">atching fish for human </w:t>
      </w:r>
      <w:r w:rsidRPr="0038256B">
        <w:rPr>
          <w:b/>
          <w:i/>
          <w:lang w:val="en-GB"/>
        </w:rPr>
        <w:t xml:space="preserve">consumption </w:t>
      </w:r>
    </w:p>
    <w:p w:rsidR="00C045D6" w:rsidRDefault="00C045D6" w:rsidP="00C045D6">
      <w:pPr>
        <w:ind w:left="-47"/>
        <w:rPr>
          <w:lang w:val="en-GB"/>
        </w:rPr>
      </w:pPr>
      <w:r w:rsidRPr="00026861">
        <w:rPr>
          <w:lang w:val="en-GB"/>
        </w:rPr>
        <w:t>The fishery sector</w:t>
      </w:r>
      <w:r>
        <w:rPr>
          <w:b/>
          <w:lang w:val="en-GB"/>
        </w:rPr>
        <w:t xml:space="preserve"> </w:t>
      </w:r>
      <w:r>
        <w:rPr>
          <w:lang w:val="en-GB"/>
        </w:rPr>
        <w:t xml:space="preserve">consists of fishing, fish processing, as well as wholesale and retail. Overall some 56,000 people are employed in fishery. The fishing activity primarily focuses on catching fish for human consumption. </w:t>
      </w:r>
      <w:r w:rsidRPr="00CA2932">
        <w:rPr>
          <w:lang w:val="en-GB"/>
        </w:rPr>
        <w:t xml:space="preserve">According to JRC </w:t>
      </w:r>
      <w:r>
        <w:rPr>
          <w:lang w:val="en-GB"/>
        </w:rPr>
        <w:t>fishing for animal consumption</w:t>
      </w:r>
      <w:r w:rsidRPr="00CA2932">
        <w:rPr>
          <w:lang w:val="en-GB"/>
        </w:rPr>
        <w:t xml:space="preserve"> is negligible in France.</w:t>
      </w:r>
      <w:r>
        <w:rPr>
          <w:lang w:val="en-GB"/>
        </w:rPr>
        <w:t xml:space="preserve"> </w:t>
      </w:r>
    </w:p>
    <w:p w:rsidR="00C045D6" w:rsidRDefault="00C045D6" w:rsidP="00C045D6">
      <w:pPr>
        <w:ind w:left="-47"/>
        <w:rPr>
          <w:lang w:val="en-GB"/>
        </w:rPr>
      </w:pPr>
      <w:r>
        <w:rPr>
          <w:lang w:val="en-GB"/>
        </w:rPr>
        <w:t xml:space="preserve">In total 443,000 tonnes of fish was being caught </w:t>
      </w:r>
      <w:r w:rsidR="0009467F">
        <w:rPr>
          <w:lang w:val="en-GB"/>
        </w:rPr>
        <w:t>by the French fleet</w:t>
      </w:r>
      <w:r>
        <w:rPr>
          <w:lang w:val="en-GB"/>
        </w:rPr>
        <w:t xml:space="preserve"> in 2010 (Eurostat</w:t>
      </w:r>
      <w:r>
        <w:rPr>
          <w:lang w:val="nl-NL"/>
        </w:rPr>
        <w:t xml:space="preserve">). This represents a share of 9% of the EU27 total. </w:t>
      </w:r>
      <w:r>
        <w:rPr>
          <w:lang w:val="en-GB"/>
        </w:rPr>
        <w:t xml:space="preserve">According to the French Ministry of Sustainable Development, in 2010 the French fishing fleet was made of 7305 vessels, </w:t>
      </w:r>
      <w:r w:rsidRPr="00A9646D">
        <w:rPr>
          <w:lang w:val="en-GB"/>
        </w:rPr>
        <w:t xml:space="preserve">4,857 registered </w:t>
      </w:r>
      <w:r>
        <w:rPr>
          <w:lang w:val="en-GB"/>
        </w:rPr>
        <w:t xml:space="preserve">in metropolitan France and 2448 in the </w:t>
      </w:r>
      <w:r w:rsidRPr="00A9646D">
        <w:rPr>
          <w:lang w:val="en-GB"/>
        </w:rPr>
        <w:t>departments</w:t>
      </w:r>
      <w:r>
        <w:rPr>
          <w:lang w:val="en-GB"/>
        </w:rPr>
        <w:t xml:space="preserve"> and overseas territories. In the same year, the French fisheries sector employed </w:t>
      </w:r>
      <w:r w:rsidRPr="00A9646D">
        <w:rPr>
          <w:lang w:val="en-GB"/>
        </w:rPr>
        <w:t xml:space="preserve">22,639 sailors, </w:t>
      </w:r>
      <w:r>
        <w:rPr>
          <w:lang w:val="en-GB"/>
        </w:rPr>
        <w:t xml:space="preserve">of which </w:t>
      </w:r>
      <w:r w:rsidRPr="00A9646D">
        <w:rPr>
          <w:lang w:val="en-GB"/>
        </w:rPr>
        <w:t xml:space="preserve">585 </w:t>
      </w:r>
      <w:r>
        <w:rPr>
          <w:lang w:val="en-GB"/>
        </w:rPr>
        <w:t xml:space="preserve">were extra-EU citizens. </w:t>
      </w:r>
    </w:p>
    <w:p w:rsidR="00C045D6" w:rsidRDefault="00C045D6" w:rsidP="00C045D6">
      <w:pPr>
        <w:ind w:left="-47"/>
        <w:rPr>
          <w:lang w:val="en-GB"/>
        </w:rPr>
      </w:pPr>
      <w:r>
        <w:rPr>
          <w:lang w:val="en-GB"/>
        </w:rPr>
        <w:t xml:space="preserve">According to France Agrimer, the small-scale coastal </w:t>
      </w:r>
      <w:r w:rsidRPr="00A9646D">
        <w:rPr>
          <w:lang w:val="en-GB"/>
        </w:rPr>
        <w:t>f</w:t>
      </w:r>
      <w:r>
        <w:rPr>
          <w:lang w:val="en-GB"/>
        </w:rPr>
        <w:t>isheries</w:t>
      </w:r>
      <w:r>
        <w:rPr>
          <w:rStyle w:val="FootnoteReference"/>
          <w:lang w:val="en-GB"/>
        </w:rPr>
        <w:footnoteReference w:id="41"/>
      </w:r>
      <w:r>
        <w:rPr>
          <w:lang w:val="en-GB"/>
        </w:rPr>
        <w:t xml:space="preserve"> employ 45% of the available </w:t>
      </w:r>
      <w:r w:rsidR="000F5009">
        <w:rPr>
          <w:lang w:val="en-GB"/>
        </w:rPr>
        <w:t xml:space="preserve">fishing </w:t>
      </w:r>
      <w:r>
        <w:rPr>
          <w:lang w:val="en-GB"/>
        </w:rPr>
        <w:t xml:space="preserve">workforce, </w:t>
      </w:r>
      <w:r w:rsidRPr="00A9646D">
        <w:rPr>
          <w:lang w:val="en-GB"/>
        </w:rPr>
        <w:t xml:space="preserve">followed by </w:t>
      </w:r>
      <w:r>
        <w:rPr>
          <w:lang w:val="en-GB"/>
        </w:rPr>
        <w:t xml:space="preserve">small-scale </w:t>
      </w:r>
      <w:r w:rsidRPr="00A9646D">
        <w:rPr>
          <w:lang w:val="en-GB"/>
        </w:rPr>
        <w:t>shellfish</w:t>
      </w:r>
      <w:r>
        <w:rPr>
          <w:lang w:val="en-GB"/>
        </w:rPr>
        <w:t xml:space="preserve"> fisheries (22%), high sea fisheries (15%) and coastal fisheries (1</w:t>
      </w:r>
      <w:r w:rsidRPr="00A9646D">
        <w:rPr>
          <w:lang w:val="en-GB"/>
        </w:rPr>
        <w:t xml:space="preserve">2%). </w:t>
      </w:r>
      <w:r>
        <w:rPr>
          <w:lang w:val="en-GB"/>
        </w:rPr>
        <w:t xml:space="preserve">Large-scale fisheries employ only 5% of the available workforce. Small-scale fishing can be mainly found in the </w:t>
      </w:r>
      <w:r w:rsidRPr="00A9646D">
        <w:rPr>
          <w:lang w:val="en-GB"/>
        </w:rPr>
        <w:t xml:space="preserve"> in the Mediterranean</w:t>
      </w:r>
      <w:r>
        <w:rPr>
          <w:lang w:val="en-GB"/>
        </w:rPr>
        <w:t xml:space="preserve"> </w:t>
      </w:r>
      <w:r w:rsidRPr="00A9646D">
        <w:rPr>
          <w:lang w:val="en-GB"/>
        </w:rPr>
        <w:t xml:space="preserve">(73%) and </w:t>
      </w:r>
      <w:r>
        <w:rPr>
          <w:lang w:val="en-GB"/>
        </w:rPr>
        <w:t xml:space="preserve">in the </w:t>
      </w:r>
      <w:r w:rsidRPr="00A9646D">
        <w:rPr>
          <w:lang w:val="en-GB"/>
        </w:rPr>
        <w:t>overseas territories</w:t>
      </w:r>
      <w:r>
        <w:rPr>
          <w:lang w:val="en-GB"/>
        </w:rPr>
        <w:t xml:space="preserve"> </w:t>
      </w:r>
      <w:r w:rsidRPr="00A9646D">
        <w:rPr>
          <w:lang w:val="en-GB"/>
        </w:rPr>
        <w:t>(87%</w:t>
      </w:r>
      <w:r>
        <w:rPr>
          <w:rStyle w:val="FootnoteReference"/>
          <w:lang w:val="en-GB"/>
        </w:rPr>
        <w:footnoteReference w:id="42"/>
      </w:r>
      <w:r w:rsidRPr="00A9646D">
        <w:rPr>
          <w:lang w:val="en-GB"/>
        </w:rPr>
        <w:t>).</w:t>
      </w:r>
    </w:p>
    <w:p w:rsidR="00C045D6" w:rsidRDefault="00C045D6" w:rsidP="00C045D6">
      <w:pPr>
        <w:ind w:left="-47"/>
        <w:rPr>
          <w:lang w:val="en-GB"/>
        </w:rPr>
      </w:pPr>
      <w:r>
        <w:rPr>
          <w:lang w:val="en-GB"/>
        </w:rPr>
        <w:t xml:space="preserve">The largest number of jobs in the fish catching sector is to be found in the Bretagne region </w:t>
      </w:r>
      <w:r w:rsidRPr="00937D3C">
        <w:rPr>
          <w:lang w:val="en-GB"/>
        </w:rPr>
        <w:t>(28%), followed by</w:t>
      </w:r>
      <w:r>
        <w:rPr>
          <w:lang w:val="en-GB"/>
        </w:rPr>
        <w:t xml:space="preserve"> </w:t>
      </w:r>
      <w:r w:rsidRPr="00937D3C">
        <w:rPr>
          <w:lang w:val="en-GB"/>
        </w:rPr>
        <w:t>Aquitaine Poitou-Charentes</w:t>
      </w:r>
      <w:r>
        <w:rPr>
          <w:lang w:val="en-GB"/>
        </w:rPr>
        <w:t xml:space="preserve"> </w:t>
      </w:r>
      <w:r w:rsidRPr="00937D3C">
        <w:rPr>
          <w:lang w:val="en-GB"/>
        </w:rPr>
        <w:t xml:space="preserve">(19%), the </w:t>
      </w:r>
      <w:r>
        <w:rPr>
          <w:lang w:val="en-GB"/>
        </w:rPr>
        <w:t xml:space="preserve">northern part of </w:t>
      </w:r>
      <w:r w:rsidRPr="00937D3C">
        <w:rPr>
          <w:lang w:val="en-GB"/>
        </w:rPr>
        <w:t>Normandy</w:t>
      </w:r>
      <w:r>
        <w:rPr>
          <w:lang w:val="en-GB"/>
        </w:rPr>
        <w:t xml:space="preserve"> </w:t>
      </w:r>
      <w:r w:rsidRPr="00937D3C">
        <w:rPr>
          <w:lang w:val="en-GB"/>
        </w:rPr>
        <w:t xml:space="preserve">(17%), </w:t>
      </w:r>
      <w:r>
        <w:rPr>
          <w:lang w:val="en-GB"/>
        </w:rPr>
        <w:t xml:space="preserve">the </w:t>
      </w:r>
      <w:r w:rsidRPr="00937D3C">
        <w:rPr>
          <w:lang w:val="en-GB"/>
        </w:rPr>
        <w:t>Mediterranean</w:t>
      </w:r>
      <w:r>
        <w:rPr>
          <w:lang w:val="en-GB"/>
        </w:rPr>
        <w:t xml:space="preserve"> </w:t>
      </w:r>
      <w:r w:rsidRPr="00937D3C">
        <w:rPr>
          <w:lang w:val="en-GB"/>
        </w:rPr>
        <w:t xml:space="preserve">(14%) and </w:t>
      </w:r>
      <w:r>
        <w:rPr>
          <w:lang w:val="en-GB"/>
        </w:rPr>
        <w:t xml:space="preserve">the </w:t>
      </w:r>
      <w:r w:rsidRPr="00937D3C">
        <w:rPr>
          <w:lang w:val="en-GB"/>
        </w:rPr>
        <w:t>overseas departments</w:t>
      </w:r>
      <w:r>
        <w:rPr>
          <w:lang w:val="en-GB"/>
        </w:rPr>
        <w:t xml:space="preserve"> </w:t>
      </w:r>
      <w:r w:rsidRPr="00937D3C">
        <w:rPr>
          <w:lang w:val="en-GB"/>
        </w:rPr>
        <w:t>(11%)</w:t>
      </w:r>
      <w:r>
        <w:rPr>
          <w:rStyle w:val="FootnoteReference"/>
          <w:lang w:val="en-GB"/>
        </w:rPr>
        <w:footnoteReference w:id="43"/>
      </w:r>
      <w:r w:rsidRPr="00937D3C">
        <w:rPr>
          <w:lang w:val="en-GB"/>
        </w:rPr>
        <w:t>.</w:t>
      </w:r>
    </w:p>
    <w:p w:rsidR="00CA2932" w:rsidRDefault="00C045D6" w:rsidP="00C045D6">
      <w:pPr>
        <w:rPr>
          <w:lang w:val="en-GB"/>
        </w:rPr>
      </w:pPr>
      <w:r>
        <w:rPr>
          <w:lang w:val="en-GB"/>
        </w:rPr>
        <w:t>The fish processing industry in France employs 15,590 people working in 311 companies (JRC 2012). Over the past period this sector has remained relatively stable.</w:t>
      </w:r>
      <w:r w:rsidRPr="0007453F">
        <w:rPr>
          <w:lang w:val="en-GB"/>
        </w:rPr>
        <w:t xml:space="preserve"> </w:t>
      </w:r>
      <w:r w:rsidRPr="0056083E">
        <w:rPr>
          <w:lang w:val="en-GB"/>
        </w:rPr>
        <w:t>The fish processing industry is highly concentrated</w:t>
      </w:r>
      <w:r>
        <w:rPr>
          <w:lang w:val="en-GB"/>
        </w:rPr>
        <w:t xml:space="preserve"> with the 10 largest companies producing 45% of all turnovers.</w:t>
      </w:r>
    </w:p>
    <w:p w:rsidR="00C045D6" w:rsidRPr="00A472D7" w:rsidRDefault="00C045D6" w:rsidP="00C045D6">
      <w:pPr>
        <w:ind w:left="-47"/>
        <w:rPr>
          <w:i/>
          <w:lang w:val="en-GB"/>
        </w:rPr>
      </w:pPr>
      <w:r w:rsidRPr="00A472D7">
        <w:rPr>
          <w:b/>
          <w:i/>
          <w:lang w:val="en-GB"/>
        </w:rPr>
        <w:t>Marine aquatic products</w:t>
      </w:r>
    </w:p>
    <w:p w:rsidR="00C045D6" w:rsidRDefault="00C045D6" w:rsidP="00C045D6">
      <w:pPr>
        <w:ind w:left="-47"/>
        <w:rPr>
          <w:lang w:val="en-GB"/>
        </w:rPr>
      </w:pPr>
      <w:r>
        <w:rPr>
          <w:lang w:val="en-GB"/>
        </w:rPr>
        <w:t>According to FAO data, France is the largest aquaculture producer in Europe, with 21% of the value of the total EU aquaculture</w:t>
      </w:r>
      <w:r>
        <w:rPr>
          <w:rStyle w:val="FootnoteReference"/>
          <w:lang w:val="en-GB"/>
        </w:rPr>
        <w:footnoteReference w:id="44"/>
      </w:r>
      <w:r>
        <w:rPr>
          <w:lang w:val="en-GB"/>
        </w:rPr>
        <w:t xml:space="preserve">. </w:t>
      </w:r>
      <w:r w:rsidRPr="004D64E3">
        <w:rPr>
          <w:lang w:val="en-GB"/>
        </w:rPr>
        <w:t xml:space="preserve">France </w:t>
      </w:r>
      <w:r>
        <w:rPr>
          <w:lang w:val="en-GB"/>
        </w:rPr>
        <w:t xml:space="preserve">aquaculture focuses on </w:t>
      </w:r>
      <w:r w:rsidRPr="003273F2">
        <w:rPr>
          <w:lang w:val="en-GB"/>
        </w:rPr>
        <w:t xml:space="preserve">bivalve </w:t>
      </w:r>
      <w:r>
        <w:rPr>
          <w:lang w:val="en-GB"/>
        </w:rPr>
        <w:t>shellfish</w:t>
      </w:r>
      <w:r w:rsidRPr="003273F2">
        <w:rPr>
          <w:lang w:val="en-GB"/>
        </w:rPr>
        <w:t xml:space="preserve"> farming</w:t>
      </w:r>
      <w:r>
        <w:rPr>
          <w:lang w:val="en-GB"/>
        </w:rPr>
        <w:t xml:space="preserve"> (</w:t>
      </w:r>
      <w:r w:rsidRPr="00BA13C5">
        <w:rPr>
          <w:lang w:val="en-GB"/>
        </w:rPr>
        <w:t>oysters, clams, scallops, mussels and cockles</w:t>
      </w:r>
      <w:r>
        <w:rPr>
          <w:lang w:val="en-GB"/>
        </w:rPr>
        <w:t xml:space="preserve">), which is mainly concentrated in Bretagne, Normandie and Poitou-Charentes. France </w:t>
      </w:r>
      <w:r w:rsidRPr="004D64E3">
        <w:rPr>
          <w:lang w:val="en-GB"/>
        </w:rPr>
        <w:t>is the first and almost the only oyster pr</w:t>
      </w:r>
      <w:r>
        <w:rPr>
          <w:lang w:val="en-GB"/>
        </w:rPr>
        <w:t xml:space="preserve">oducer in the European Union. </w:t>
      </w:r>
    </w:p>
    <w:p w:rsidR="00C045D6" w:rsidRPr="00A949AB" w:rsidRDefault="00C045D6" w:rsidP="00C045D6">
      <w:pPr>
        <w:ind w:left="-47"/>
        <w:rPr>
          <w:i/>
          <w:lang w:val="en-GB"/>
        </w:rPr>
      </w:pPr>
      <w:r w:rsidRPr="00A949AB">
        <w:rPr>
          <w:i/>
          <w:lang w:val="en-GB"/>
        </w:rPr>
        <w:t>Shellfish farming</w:t>
      </w:r>
    </w:p>
    <w:p w:rsidR="00C045D6" w:rsidRDefault="00C045D6" w:rsidP="00C045D6">
      <w:pPr>
        <w:ind w:left="-47"/>
        <w:rPr>
          <w:lang w:val="en-GB"/>
        </w:rPr>
      </w:pPr>
      <w:r>
        <w:rPr>
          <w:lang w:val="en-GB"/>
        </w:rPr>
        <w:t xml:space="preserve">According to the French department of Sustainable Development, in 2010 shellfish farming employed 16,800 </w:t>
      </w:r>
      <w:r w:rsidRPr="004D64E3">
        <w:rPr>
          <w:lang w:val="en-GB"/>
        </w:rPr>
        <w:t>people</w:t>
      </w:r>
      <w:r>
        <w:rPr>
          <w:rStyle w:val="FootnoteReference"/>
          <w:lang w:val="en-GB"/>
        </w:rPr>
        <w:footnoteReference w:id="45"/>
      </w:r>
      <w:r w:rsidRPr="004D64E3">
        <w:rPr>
          <w:lang w:val="en-GB"/>
        </w:rPr>
        <w:t xml:space="preserve"> , with 50% seasonal jobs. Most of the shellfish farming takes place on the public maritime domain, which grants professionals the necessary concessions and licences to operate. </w:t>
      </w:r>
      <w:r>
        <w:rPr>
          <w:lang w:val="en-GB"/>
        </w:rPr>
        <w:t xml:space="preserve">According to JRC the number of shellfish farms is close to 3300 showing a decreasing trend over the past years. </w:t>
      </w:r>
    </w:p>
    <w:p w:rsidR="00C045D6" w:rsidRPr="00A949AB" w:rsidRDefault="00C045D6" w:rsidP="00C045D6">
      <w:pPr>
        <w:ind w:left="-47"/>
        <w:rPr>
          <w:i/>
          <w:lang w:val="en-GB"/>
        </w:rPr>
      </w:pPr>
      <w:r w:rsidRPr="00A949AB">
        <w:rPr>
          <w:i/>
          <w:lang w:val="en-GB"/>
        </w:rPr>
        <w:t>Marine fish farming</w:t>
      </w:r>
    </w:p>
    <w:p w:rsidR="00C045D6" w:rsidRDefault="00C045D6" w:rsidP="00C045D6">
      <w:pPr>
        <w:ind w:left="-47"/>
        <w:rPr>
          <w:lang w:val="en-GB"/>
        </w:rPr>
      </w:pPr>
      <w:r>
        <w:rPr>
          <w:lang w:val="en-GB"/>
        </w:rPr>
        <w:t xml:space="preserve">As for marine fish farming alone, it is developed by 31 companies that provided a </w:t>
      </w:r>
      <w:r w:rsidRPr="0037642C">
        <w:rPr>
          <w:lang w:val="en-GB"/>
        </w:rPr>
        <w:t xml:space="preserve">production </w:t>
      </w:r>
      <w:r>
        <w:rPr>
          <w:lang w:val="en-GB"/>
        </w:rPr>
        <w:t xml:space="preserve">of 5700 tons in 2010. </w:t>
      </w:r>
      <w:r w:rsidRPr="0037642C">
        <w:rPr>
          <w:lang w:val="en-GB"/>
        </w:rPr>
        <w:t>The industry is highly concentrated: 8 companies</w:t>
      </w:r>
      <w:r>
        <w:rPr>
          <w:lang w:val="en-GB"/>
        </w:rPr>
        <w:t xml:space="preserve"> make 80% of </w:t>
      </w:r>
      <w:r w:rsidRPr="0037642C">
        <w:rPr>
          <w:lang w:val="en-GB"/>
        </w:rPr>
        <w:t xml:space="preserve">sales. After </w:t>
      </w:r>
      <w:r>
        <w:rPr>
          <w:lang w:val="en-GB"/>
        </w:rPr>
        <w:t xml:space="preserve">a </w:t>
      </w:r>
      <w:r w:rsidRPr="0037642C">
        <w:rPr>
          <w:lang w:val="en-GB"/>
        </w:rPr>
        <w:t xml:space="preserve">steady growth until 1995, the French marine fish farming </w:t>
      </w:r>
      <w:r>
        <w:rPr>
          <w:lang w:val="en-GB"/>
        </w:rPr>
        <w:t xml:space="preserve">sector </w:t>
      </w:r>
      <w:r w:rsidRPr="0037642C">
        <w:rPr>
          <w:lang w:val="en-GB"/>
        </w:rPr>
        <w:t xml:space="preserve">has stagnated since. </w:t>
      </w:r>
      <w:r>
        <w:rPr>
          <w:lang w:val="en-GB"/>
        </w:rPr>
        <w:t>C</w:t>
      </w:r>
      <w:r w:rsidRPr="0037642C">
        <w:rPr>
          <w:lang w:val="en-GB"/>
        </w:rPr>
        <w:t xml:space="preserve">onditions for </w:t>
      </w:r>
      <w:r>
        <w:rPr>
          <w:lang w:val="en-GB"/>
        </w:rPr>
        <w:t xml:space="preserve">its </w:t>
      </w:r>
      <w:r w:rsidRPr="0037642C">
        <w:rPr>
          <w:lang w:val="en-GB"/>
        </w:rPr>
        <w:t xml:space="preserve">development are hampered by </w:t>
      </w:r>
      <w:r w:rsidRPr="0037642C">
        <w:rPr>
          <w:lang w:val="en-GB"/>
        </w:rPr>
        <w:lastRenderedPageBreak/>
        <w:t xml:space="preserve">the scarcity of available sites and </w:t>
      </w:r>
      <w:r>
        <w:rPr>
          <w:lang w:val="en-GB"/>
        </w:rPr>
        <w:t xml:space="preserve">the </w:t>
      </w:r>
      <w:r w:rsidRPr="0037642C">
        <w:rPr>
          <w:lang w:val="en-GB"/>
        </w:rPr>
        <w:t>competition with other coastal a</w:t>
      </w:r>
      <w:r>
        <w:rPr>
          <w:lang w:val="en-GB"/>
        </w:rPr>
        <w:t>ctivities to access these sites (</w:t>
      </w:r>
      <w:r w:rsidRPr="0037642C">
        <w:rPr>
          <w:lang w:val="en-GB"/>
        </w:rPr>
        <w:t>including tourism</w:t>
      </w:r>
      <w:r>
        <w:rPr>
          <w:lang w:val="en-GB"/>
        </w:rPr>
        <w:t>)</w:t>
      </w:r>
      <w:r w:rsidRPr="0037642C">
        <w:rPr>
          <w:lang w:val="en-GB"/>
        </w:rPr>
        <w:t xml:space="preserve">. </w:t>
      </w:r>
      <w:r w:rsidRPr="004F2D72">
        <w:rPr>
          <w:lang w:val="en-GB"/>
        </w:rPr>
        <w:t>Marine fish farming</w:t>
      </w:r>
      <w:r>
        <w:rPr>
          <w:lang w:val="en-GB"/>
        </w:rPr>
        <w:t>, which is mainly concentrated around the production of royal seabreams and basses</w:t>
      </w:r>
      <w:r>
        <w:rPr>
          <w:rStyle w:val="FootnoteReference"/>
          <w:lang w:val="en-GB"/>
        </w:rPr>
        <w:footnoteReference w:id="46"/>
      </w:r>
      <w:r>
        <w:rPr>
          <w:lang w:val="en-GB"/>
        </w:rPr>
        <w:t xml:space="preserve">  employs </w:t>
      </w:r>
      <w:r w:rsidRPr="004F2D72">
        <w:rPr>
          <w:lang w:val="en-GB"/>
        </w:rPr>
        <w:t>2</w:t>
      </w:r>
      <w:r>
        <w:rPr>
          <w:lang w:val="en-GB"/>
        </w:rPr>
        <w:t>,</w:t>
      </w:r>
      <w:r w:rsidRPr="004F2D72">
        <w:rPr>
          <w:lang w:val="en-GB"/>
        </w:rPr>
        <w:t>800 people (2</w:t>
      </w:r>
      <w:r>
        <w:rPr>
          <w:lang w:val="en-GB"/>
        </w:rPr>
        <w:t>,</w:t>
      </w:r>
      <w:r w:rsidRPr="004F2D72">
        <w:rPr>
          <w:lang w:val="en-GB"/>
        </w:rPr>
        <w:t xml:space="preserve">200 full-time equivalents) with </w:t>
      </w:r>
      <w:r>
        <w:rPr>
          <w:lang w:val="en-GB"/>
        </w:rPr>
        <w:t>80% permanent jobs</w:t>
      </w:r>
      <w:r>
        <w:rPr>
          <w:rStyle w:val="FootnoteReference"/>
          <w:lang w:val="en-GB"/>
        </w:rPr>
        <w:footnoteReference w:id="47"/>
      </w:r>
      <w:r>
        <w:rPr>
          <w:lang w:val="en-GB"/>
        </w:rPr>
        <w:t xml:space="preserve">. </w:t>
      </w:r>
    </w:p>
    <w:p w:rsidR="00C045D6" w:rsidRPr="00A949AB" w:rsidRDefault="00C045D6" w:rsidP="00C045D6">
      <w:pPr>
        <w:ind w:left="-47"/>
        <w:rPr>
          <w:i/>
          <w:lang w:val="en-GB"/>
        </w:rPr>
      </w:pPr>
      <w:r w:rsidRPr="00A949AB">
        <w:rPr>
          <w:i/>
          <w:lang w:val="en-GB"/>
        </w:rPr>
        <w:t>Algae</w:t>
      </w:r>
    </w:p>
    <w:p w:rsidR="00A82B87" w:rsidRDefault="00DE1BAC" w:rsidP="00C045D6">
      <w:pPr>
        <w:rPr>
          <w:lang w:val="en-GB"/>
        </w:rPr>
      </w:pPr>
      <w:r>
        <w:rPr>
          <w:lang w:val="en-GB"/>
        </w:rPr>
        <w:t>Algae</w:t>
      </w:r>
      <w:r w:rsidR="00C045D6">
        <w:rPr>
          <w:lang w:val="en-GB"/>
        </w:rPr>
        <w:t xml:space="preserve"> production in France is limited. </w:t>
      </w:r>
      <w:r w:rsidR="00C045D6" w:rsidRPr="00735ADE">
        <w:rPr>
          <w:lang w:val="en-GB"/>
        </w:rPr>
        <w:t xml:space="preserve">Although France can master both the skills and the techniques for the cultivation of several macro-algae species, </w:t>
      </w:r>
      <w:r w:rsidR="00C045D6">
        <w:rPr>
          <w:lang w:val="en-GB"/>
        </w:rPr>
        <w:t xml:space="preserve">only a few </w:t>
      </w:r>
      <w:r w:rsidR="00C045D6" w:rsidRPr="00735ADE">
        <w:rPr>
          <w:lang w:val="en-GB"/>
        </w:rPr>
        <w:t>alg</w:t>
      </w:r>
      <w:r>
        <w:rPr>
          <w:lang w:val="en-GB"/>
        </w:rPr>
        <w:t>ae</w:t>
      </w:r>
      <w:r w:rsidR="00C045D6" w:rsidRPr="00735ADE">
        <w:rPr>
          <w:lang w:val="en-GB"/>
        </w:rPr>
        <w:t>-farmers</w:t>
      </w:r>
      <w:r w:rsidR="00C045D6">
        <w:rPr>
          <w:lang w:val="en-GB"/>
        </w:rPr>
        <w:t xml:space="preserve"> are active</w:t>
      </w:r>
      <w:r w:rsidR="00C045D6" w:rsidRPr="00735ADE">
        <w:rPr>
          <w:lang w:val="en-GB"/>
        </w:rPr>
        <w:t xml:space="preserve"> in Bretagne and Vendée, </w:t>
      </w:r>
      <w:r w:rsidR="00C045D6">
        <w:rPr>
          <w:lang w:val="en-GB"/>
        </w:rPr>
        <w:t>producing</w:t>
      </w:r>
      <w:r w:rsidR="00C045D6" w:rsidRPr="00735ADE">
        <w:rPr>
          <w:lang w:val="en-GB"/>
        </w:rPr>
        <w:t xml:space="preserve"> low volumes of algae for high added value markets (food, cosmetics, etc.). Out of the 50 000 tons of algae produced in France every year, only 0.1% come from algae culture. In 2010, there were six farms in Bretagne and Vendée</w:t>
      </w:r>
      <w:r w:rsidR="00C045D6">
        <w:rPr>
          <w:lang w:val="en-GB"/>
        </w:rPr>
        <w:t xml:space="preserve"> and two hatcheries in Bretagne</w:t>
      </w:r>
      <w:r w:rsidR="00C045D6">
        <w:rPr>
          <w:rStyle w:val="FootnoteReference"/>
          <w:lang w:val="en-GB"/>
        </w:rPr>
        <w:footnoteReference w:id="48"/>
      </w:r>
      <w:r w:rsidR="00C045D6" w:rsidRPr="00735ADE">
        <w:rPr>
          <w:lang w:val="en-GB"/>
        </w:rPr>
        <w:t>.</w:t>
      </w:r>
    </w:p>
    <w:p w:rsidR="00FB1D0C" w:rsidRPr="00A472D7" w:rsidRDefault="00FB1D0C" w:rsidP="00FB1D0C">
      <w:pPr>
        <w:ind w:left="-47"/>
        <w:rPr>
          <w:b/>
          <w:i/>
          <w:lang w:val="en-GB"/>
        </w:rPr>
      </w:pPr>
      <w:r w:rsidRPr="00A472D7">
        <w:rPr>
          <w:b/>
          <w:i/>
          <w:lang w:val="en-GB"/>
        </w:rPr>
        <w:t>Blue biotechnology</w:t>
      </w:r>
      <w:r w:rsidRPr="00A472D7">
        <w:rPr>
          <w:rStyle w:val="FootnoteReference"/>
          <w:b/>
          <w:i/>
          <w:lang w:val="en-GB"/>
        </w:rPr>
        <w:footnoteReference w:id="49"/>
      </w:r>
    </w:p>
    <w:p w:rsidR="00FB1D0C" w:rsidRDefault="00FB1D0C" w:rsidP="00FB1D0C">
      <w:pPr>
        <w:ind w:left="-47"/>
        <w:rPr>
          <w:lang w:val="en-GB"/>
        </w:rPr>
      </w:pPr>
      <w:r>
        <w:rPr>
          <w:lang w:val="en-GB"/>
        </w:rPr>
        <w:t>Blue biotech is an economic activity that is very much in its development stages. Nevertheless</w:t>
      </w:r>
      <w:r w:rsidR="00DE1BAC">
        <w:rPr>
          <w:lang w:val="en-GB"/>
        </w:rPr>
        <w:t>,</w:t>
      </w:r>
      <w:r>
        <w:rPr>
          <w:lang w:val="en-GB"/>
        </w:rPr>
        <w:t xml:space="preserve"> France can be seen as one of the frontrunners in this field in Europe. </w:t>
      </w:r>
      <w:r w:rsidRPr="003273F2">
        <w:rPr>
          <w:lang w:val="en-GB"/>
        </w:rPr>
        <w:t xml:space="preserve">The use of marine bio resources is </w:t>
      </w:r>
      <w:r w:rsidR="00DE1BAC">
        <w:rPr>
          <w:lang w:val="en-GB"/>
        </w:rPr>
        <w:t xml:space="preserve">an </w:t>
      </w:r>
      <w:r w:rsidRPr="003273F2">
        <w:rPr>
          <w:lang w:val="en-GB"/>
        </w:rPr>
        <w:t xml:space="preserve">established practice in the field of cosmetics. In France, a network of SMEs is active in the field. </w:t>
      </w:r>
      <w:r w:rsidR="007368F6">
        <w:rPr>
          <w:lang w:val="en-GB"/>
        </w:rPr>
        <w:t>In p</w:t>
      </w:r>
      <w:r w:rsidR="00DE1BAC">
        <w:rPr>
          <w:lang w:val="en-GB"/>
        </w:rPr>
        <w:t>articular</w:t>
      </w:r>
      <w:r>
        <w:rPr>
          <w:lang w:val="en-GB"/>
        </w:rPr>
        <w:t xml:space="preserve">, the Pôle Mer in the Bretagne region is supporting several public/private projects, by bringing together public research centres and private companies to develop innovative solutions in the blue biotech sector. </w:t>
      </w:r>
      <w:r w:rsidR="00DE1BAC">
        <w:rPr>
          <w:lang w:val="en-GB"/>
        </w:rPr>
        <w:t>For example, t</w:t>
      </w:r>
      <w:r>
        <w:rPr>
          <w:lang w:val="en-GB"/>
        </w:rPr>
        <w:t xml:space="preserve">he </w:t>
      </w:r>
      <w:r w:rsidRPr="003273F2">
        <w:rPr>
          <w:lang w:val="en-GB"/>
        </w:rPr>
        <w:t xml:space="preserve">Aquactifs project </w:t>
      </w:r>
      <w:r>
        <w:rPr>
          <w:lang w:val="en-GB"/>
        </w:rPr>
        <w:t xml:space="preserve">has brought together </w:t>
      </w:r>
      <w:r w:rsidR="00DE1BAC">
        <w:rPr>
          <w:lang w:val="en-GB"/>
        </w:rPr>
        <w:t>co</w:t>
      </w:r>
      <w:r w:rsidRPr="003273F2">
        <w:rPr>
          <w:lang w:val="en-GB"/>
        </w:rPr>
        <w:t xml:space="preserve">mpanies such as Biocean together with Agrimer, </w:t>
      </w:r>
      <w:r>
        <w:rPr>
          <w:lang w:val="en-GB"/>
        </w:rPr>
        <w:t xml:space="preserve">whereas the </w:t>
      </w:r>
      <w:r w:rsidRPr="003273F2">
        <w:rPr>
          <w:lang w:val="en-GB"/>
        </w:rPr>
        <w:t xml:space="preserve">lvoligo </w:t>
      </w:r>
      <w:r>
        <w:rPr>
          <w:lang w:val="en-GB"/>
        </w:rPr>
        <w:t xml:space="preserve">project involves </w:t>
      </w:r>
      <w:r w:rsidRPr="003273F2">
        <w:rPr>
          <w:lang w:val="en-GB"/>
        </w:rPr>
        <w:t xml:space="preserve">BioEurope, the Roscoff Biological Station and </w:t>
      </w:r>
      <w:r>
        <w:rPr>
          <w:lang w:val="en-GB"/>
        </w:rPr>
        <w:t xml:space="preserve">the </w:t>
      </w:r>
      <w:r w:rsidRPr="003273F2">
        <w:rPr>
          <w:lang w:val="en-GB"/>
        </w:rPr>
        <w:t>Cen</w:t>
      </w:r>
      <w:r>
        <w:rPr>
          <w:lang w:val="en-GB"/>
        </w:rPr>
        <w:t>tre</w:t>
      </w:r>
      <w:r w:rsidRPr="003273F2">
        <w:rPr>
          <w:lang w:val="en-GB"/>
        </w:rPr>
        <w:t xml:space="preserve"> for the Study and Promotion of Algae Pleubian</w:t>
      </w:r>
      <w:r>
        <w:rPr>
          <w:rStyle w:val="FootnoteReference"/>
          <w:lang w:val="en-GB"/>
        </w:rPr>
        <w:footnoteReference w:id="50"/>
      </w:r>
      <w:r w:rsidRPr="003273F2">
        <w:rPr>
          <w:lang w:val="en-GB"/>
        </w:rPr>
        <w:t>.</w:t>
      </w:r>
    </w:p>
    <w:p w:rsidR="00FB1D0C" w:rsidRDefault="00FB1D0C" w:rsidP="00FB1D0C">
      <w:pPr>
        <w:ind w:left="-47"/>
        <w:rPr>
          <w:lang w:val="en-GB"/>
        </w:rPr>
      </w:pPr>
      <w:r w:rsidRPr="007F0D17">
        <w:rPr>
          <w:lang w:val="en-GB"/>
        </w:rPr>
        <w:t>France is also active in R&amp;D activities for the production of biofuel from microalgae oil.</w:t>
      </w:r>
    </w:p>
    <w:p w:rsidR="00FB1D0C" w:rsidRDefault="00FB1D0C" w:rsidP="00FB1D0C">
      <w:pPr>
        <w:ind w:left="-47"/>
        <w:rPr>
          <w:lang w:val="en-GB"/>
        </w:rPr>
      </w:pPr>
      <w:r w:rsidRPr="007F0D17">
        <w:rPr>
          <w:lang w:val="en-GB"/>
        </w:rPr>
        <w:t xml:space="preserve">In food processing, the French company Roquette launched </w:t>
      </w:r>
      <w:r>
        <w:rPr>
          <w:lang w:val="en-GB"/>
        </w:rPr>
        <w:t>an ambitious</w:t>
      </w:r>
      <w:r w:rsidRPr="007F0D17">
        <w:rPr>
          <w:lang w:val="en-GB"/>
        </w:rPr>
        <w:t xml:space="preserve"> 5 years programme (ALGOHUB</w:t>
      </w:r>
      <w:r>
        <w:rPr>
          <w:rStyle w:val="FootnoteReference"/>
          <w:lang w:val="en-GB"/>
        </w:rPr>
        <w:footnoteReference w:id="51"/>
      </w:r>
      <w:r w:rsidRPr="007F0D17">
        <w:rPr>
          <w:lang w:val="en-GB"/>
        </w:rPr>
        <w:t xml:space="preserve">) of more than 28 million </w:t>
      </w:r>
      <w:r w:rsidR="009F5294">
        <w:rPr>
          <w:lang w:val="en-GB"/>
        </w:rPr>
        <w:t xml:space="preserve">Euros </w:t>
      </w:r>
      <w:r w:rsidRPr="007F0D17">
        <w:rPr>
          <w:lang w:val="en-GB"/>
        </w:rPr>
        <w:t>to study the potential of microalgae for the production of new dietary supplements. The study started in 2009 and should come to an end in 2014.</w:t>
      </w:r>
      <w:r w:rsidR="009F5294">
        <w:rPr>
          <w:lang w:val="en-GB"/>
        </w:rPr>
        <w:t xml:space="preserve"> Preliminary studies conducted in animals and in humans </w:t>
      </w:r>
      <w:r w:rsidR="000F5009">
        <w:rPr>
          <w:lang w:val="en-GB"/>
        </w:rPr>
        <w:t xml:space="preserve">have shown that Chlorella (a microalga rich in nutritional compounds) has a potential efficacy as dietetic supplement </w:t>
      </w:r>
      <w:r w:rsidR="009F5294">
        <w:rPr>
          <w:lang w:val="en-GB"/>
        </w:rPr>
        <w:t>on immunomodulation and detoxification</w:t>
      </w:r>
      <w:r w:rsidR="009F5294">
        <w:rPr>
          <w:rStyle w:val="FootnoteReference"/>
          <w:lang w:val="en-GB"/>
        </w:rPr>
        <w:footnoteReference w:id="52"/>
      </w:r>
      <w:r w:rsidR="009F5294">
        <w:rPr>
          <w:lang w:val="en-GB"/>
        </w:rPr>
        <w:t>.</w:t>
      </w:r>
    </w:p>
    <w:p w:rsidR="00FB1D0C" w:rsidRPr="00F20403" w:rsidRDefault="00FB1D0C" w:rsidP="00FB1D0C">
      <w:pPr>
        <w:ind w:left="-47"/>
        <w:rPr>
          <w:lang w:val="en-GB"/>
        </w:rPr>
      </w:pPr>
      <w:r>
        <w:rPr>
          <w:lang w:val="en-GB"/>
        </w:rPr>
        <w:t xml:space="preserve">Blue biotech is recognized in France as a breeding ground for innovative start-ups (affirmed in the report </w:t>
      </w:r>
      <w:r w:rsidRPr="00F20403">
        <w:rPr>
          <w:lang w:val="en-GB"/>
        </w:rPr>
        <w:t xml:space="preserve">issued </w:t>
      </w:r>
      <w:r>
        <w:rPr>
          <w:lang w:val="en-GB"/>
        </w:rPr>
        <w:t xml:space="preserve">in mid-2009 after the organisation of the ‘Grenelle de la Mer’), and ideas are being explored for the </w:t>
      </w:r>
      <w:r w:rsidRPr="00F20403">
        <w:rPr>
          <w:lang w:val="en-GB"/>
        </w:rPr>
        <w:t xml:space="preserve">establishment of a national system for </w:t>
      </w:r>
      <w:r>
        <w:rPr>
          <w:lang w:val="en-GB"/>
        </w:rPr>
        <w:t xml:space="preserve">marine biotechnology </w:t>
      </w:r>
      <w:r w:rsidRPr="00F20403">
        <w:rPr>
          <w:lang w:val="en-GB"/>
        </w:rPr>
        <w:t>start-up</w:t>
      </w:r>
      <w:r>
        <w:rPr>
          <w:lang w:val="en-GB"/>
        </w:rPr>
        <w:t xml:space="preserve">s </w:t>
      </w:r>
      <w:r w:rsidRPr="00F20403">
        <w:rPr>
          <w:lang w:val="en-GB"/>
        </w:rPr>
        <w:t xml:space="preserve">to grow, rather than </w:t>
      </w:r>
      <w:r>
        <w:rPr>
          <w:lang w:val="en-GB"/>
        </w:rPr>
        <w:t xml:space="preserve">to have them being ‘absorbed’ </w:t>
      </w:r>
      <w:r w:rsidRPr="00F20403">
        <w:rPr>
          <w:lang w:val="en-GB"/>
        </w:rPr>
        <w:t>by larger companies.</w:t>
      </w:r>
    </w:p>
    <w:p w:rsidR="00A82B87" w:rsidRDefault="00FB1D0C" w:rsidP="00FB1D0C">
      <w:pPr>
        <w:rPr>
          <w:lang w:val="en-GB"/>
        </w:rPr>
      </w:pPr>
      <w:r w:rsidRPr="00F20403">
        <w:rPr>
          <w:lang w:val="en-GB"/>
        </w:rPr>
        <w:t xml:space="preserve">With </w:t>
      </w:r>
      <w:r>
        <w:rPr>
          <w:lang w:val="en-GB"/>
        </w:rPr>
        <w:t xml:space="preserve">several companies developing marine biotechnologies, </w:t>
      </w:r>
      <w:r w:rsidRPr="00F20403">
        <w:rPr>
          <w:lang w:val="en-GB"/>
        </w:rPr>
        <w:t xml:space="preserve">the presence of three </w:t>
      </w:r>
      <w:r>
        <w:rPr>
          <w:lang w:val="en-GB"/>
        </w:rPr>
        <w:t xml:space="preserve">marine clusters </w:t>
      </w:r>
      <w:r w:rsidRPr="00F20403">
        <w:rPr>
          <w:lang w:val="en-GB"/>
        </w:rPr>
        <w:t>(</w:t>
      </w:r>
      <w:r>
        <w:rPr>
          <w:lang w:val="en-GB"/>
        </w:rPr>
        <w:t xml:space="preserve">the Pöle Mer Bretagne, the Pöle Mer PACA and </w:t>
      </w:r>
      <w:r w:rsidRPr="00F20403">
        <w:rPr>
          <w:lang w:val="en-GB"/>
        </w:rPr>
        <w:t xml:space="preserve">Aquimer) and </w:t>
      </w:r>
      <w:r>
        <w:rPr>
          <w:lang w:val="en-GB"/>
        </w:rPr>
        <w:t xml:space="preserve">the development of a specialised cluster in Nantes (the </w:t>
      </w:r>
      <w:r w:rsidRPr="00F20403">
        <w:rPr>
          <w:lang w:val="en-GB"/>
        </w:rPr>
        <w:t>Blue Cluster</w:t>
      </w:r>
      <w:r>
        <w:rPr>
          <w:lang w:val="en-GB"/>
        </w:rPr>
        <w:t xml:space="preserve">); France </w:t>
      </w:r>
      <w:r w:rsidRPr="00F20403">
        <w:rPr>
          <w:lang w:val="en-GB"/>
        </w:rPr>
        <w:t xml:space="preserve">has </w:t>
      </w:r>
      <w:r>
        <w:rPr>
          <w:lang w:val="en-GB"/>
        </w:rPr>
        <w:t>the potential to play a leading role in the blue biotechnologies sector.</w:t>
      </w:r>
    </w:p>
    <w:p w:rsidR="00FB1D0C" w:rsidRPr="00A472D7" w:rsidRDefault="00FB1D0C" w:rsidP="00FB1D0C">
      <w:pPr>
        <w:ind w:left="-47"/>
        <w:rPr>
          <w:b/>
          <w:i/>
          <w:lang w:val="nl-NL"/>
        </w:rPr>
      </w:pPr>
      <w:r w:rsidRPr="00A472D7">
        <w:rPr>
          <w:i/>
          <w:noProof/>
          <w:lang w:val="en-GB" w:eastAsia="en-GB"/>
        </w:rPr>
        <w:drawing>
          <wp:anchor distT="0" distB="0" distL="114300" distR="114300" simplePos="0" relativeHeight="251674624" behindDoc="1" locked="0" layoutInCell="1" allowOverlap="1" wp14:anchorId="32980655" wp14:editId="0D37C53F">
            <wp:simplePos x="0" y="0"/>
            <wp:positionH relativeFrom="column">
              <wp:posOffset>7915910</wp:posOffset>
            </wp:positionH>
            <wp:positionV relativeFrom="paragraph">
              <wp:posOffset>46355</wp:posOffset>
            </wp:positionV>
            <wp:extent cx="1047750" cy="1101090"/>
            <wp:effectExtent l="0" t="0" r="0" b="3810"/>
            <wp:wrapTight wrapText="bothSides">
              <wp:wrapPolygon edited="0">
                <wp:start x="0" y="0"/>
                <wp:lineTo x="0" y="21301"/>
                <wp:lineTo x="21207" y="21301"/>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101090"/>
                    </a:xfrm>
                    <a:prstGeom prst="rect">
                      <a:avLst/>
                    </a:prstGeom>
                    <a:noFill/>
                  </pic:spPr>
                </pic:pic>
              </a:graphicData>
            </a:graphic>
            <wp14:sizeRelH relativeFrom="margin">
              <wp14:pctWidth>0</wp14:pctWidth>
            </wp14:sizeRelH>
            <wp14:sizeRelV relativeFrom="margin">
              <wp14:pctHeight>0</wp14:pctHeight>
            </wp14:sizeRelV>
          </wp:anchor>
        </w:drawing>
      </w:r>
      <w:r w:rsidRPr="00A472D7">
        <w:rPr>
          <w:b/>
          <w:i/>
          <w:lang w:val="en-GB"/>
        </w:rPr>
        <w:t>Aquaculture in saline soils</w:t>
      </w:r>
      <w:r w:rsidRPr="00A472D7">
        <w:rPr>
          <w:rStyle w:val="FootnoteReference"/>
          <w:b/>
          <w:i/>
          <w:lang w:val="en-GB"/>
        </w:rPr>
        <w:footnoteReference w:id="53"/>
      </w:r>
    </w:p>
    <w:p w:rsidR="00C06D08" w:rsidRDefault="00FB1D0C" w:rsidP="00FB1D0C">
      <w:pPr>
        <w:rPr>
          <w:lang w:val="en-GB"/>
        </w:rPr>
      </w:pPr>
      <w:r>
        <w:rPr>
          <w:lang w:val="en-GB"/>
        </w:rPr>
        <w:t>Based on Eurostat data the number of people employed in agriculture on saline soils is estimated at 16,850. According to JRC saline soils are found at various places along the Atlantic and Mediterranean coast</w:t>
      </w:r>
      <w:r>
        <w:rPr>
          <w:rStyle w:val="FootnoteReference"/>
          <w:lang w:val="en-GB"/>
        </w:rPr>
        <w:footnoteReference w:id="54"/>
      </w:r>
      <w:r>
        <w:rPr>
          <w:lang w:val="en-GB"/>
        </w:rPr>
        <w:t xml:space="preserve"> (see map insert</w:t>
      </w:r>
      <w:r>
        <w:rPr>
          <w:rStyle w:val="FootnoteReference"/>
          <w:lang w:val="en-GB"/>
        </w:rPr>
        <w:footnoteReference w:id="55"/>
      </w:r>
      <w:r>
        <w:rPr>
          <w:lang w:val="en-GB"/>
        </w:rPr>
        <w:t>).</w:t>
      </w:r>
    </w:p>
    <w:p w:rsidR="00FB1D0C" w:rsidRDefault="00FB1D0C" w:rsidP="00864EAB">
      <w:pPr>
        <w:rPr>
          <w:b/>
          <w:color w:val="0070C0"/>
          <w:lang w:val="en-GB"/>
        </w:rPr>
      </w:pPr>
    </w:p>
    <w:p w:rsidR="00C06D08" w:rsidRPr="00CD2C69" w:rsidRDefault="00A82B87" w:rsidP="00864EAB">
      <w:pPr>
        <w:rPr>
          <w:b/>
          <w:color w:val="0070C0"/>
          <w:lang w:val="en-GB"/>
        </w:rPr>
      </w:pPr>
      <w:r w:rsidRPr="00CD2C69">
        <w:rPr>
          <w:b/>
          <w:color w:val="0070C0"/>
          <w:lang w:val="en-GB"/>
        </w:rPr>
        <w:t>Energy and raw materials</w:t>
      </w:r>
    </w:p>
    <w:p w:rsidR="00FB1D0C" w:rsidRPr="00A472D7" w:rsidRDefault="00FB1D0C" w:rsidP="00FB1D0C">
      <w:pPr>
        <w:ind w:left="-47"/>
        <w:rPr>
          <w:b/>
          <w:i/>
          <w:lang w:val="en-GB"/>
        </w:rPr>
      </w:pPr>
      <w:r w:rsidRPr="00A472D7">
        <w:rPr>
          <w:b/>
          <w:i/>
          <w:lang w:val="en-GB"/>
        </w:rPr>
        <w:t>Offshore oil and gas</w:t>
      </w:r>
    </w:p>
    <w:p w:rsidR="00FB1D0C" w:rsidRDefault="00FB1D0C" w:rsidP="00FB1D0C">
      <w:pPr>
        <w:ind w:left="-47"/>
        <w:rPr>
          <w:lang w:val="en-GB"/>
        </w:rPr>
      </w:pPr>
      <w:r>
        <w:rPr>
          <w:lang w:val="en-GB"/>
        </w:rPr>
        <w:t xml:space="preserve">At present </w:t>
      </w:r>
      <w:r w:rsidRPr="00DD5F74">
        <w:rPr>
          <w:lang w:val="en-GB"/>
        </w:rPr>
        <w:t xml:space="preserve">France has not yet started its oil exploitation in </w:t>
      </w:r>
      <w:r>
        <w:rPr>
          <w:lang w:val="en-GB"/>
        </w:rPr>
        <w:t xml:space="preserve">mainland </w:t>
      </w:r>
      <w:r w:rsidRPr="00DD5F74">
        <w:rPr>
          <w:lang w:val="en-GB"/>
        </w:rPr>
        <w:t>offshore areas. However, exploratory projects are currently running in the Bay of Biscay and in the Mediterranean</w:t>
      </w:r>
      <w:r>
        <w:rPr>
          <w:rStyle w:val="FootnoteReference"/>
          <w:lang w:val="en-GB"/>
        </w:rPr>
        <w:footnoteReference w:id="56"/>
      </w:r>
      <w:r w:rsidRPr="00DD5F74">
        <w:rPr>
          <w:lang w:val="en-GB"/>
        </w:rPr>
        <w:t xml:space="preserve">. Exploration should also be started in an area off the Bretagne region. These areas have a depth of around 100-200 m but can reach up to 1000 m in the Bay of Biscay and the Mediterranean. </w:t>
      </w:r>
    </w:p>
    <w:p w:rsidR="00FB1D0C" w:rsidRDefault="00FB1D0C" w:rsidP="00FB1D0C">
      <w:pPr>
        <w:ind w:left="-47"/>
        <w:rPr>
          <w:lang w:val="en-GB"/>
        </w:rPr>
      </w:pPr>
      <w:r>
        <w:rPr>
          <w:lang w:val="en-GB"/>
        </w:rPr>
        <w:t>According to the ‘Institut Français de la Mer’ around 27,000 individuals are currently employed in the offshore oil and gas sector</w:t>
      </w:r>
      <w:r>
        <w:rPr>
          <w:rStyle w:val="FootnoteReference"/>
          <w:lang w:val="en-GB"/>
        </w:rPr>
        <w:footnoteReference w:id="57"/>
      </w:r>
      <w:r>
        <w:rPr>
          <w:lang w:val="en-GB"/>
        </w:rPr>
        <w:t xml:space="preserve">. As 90% of the sector’s turnover comes from export activities </w:t>
      </w:r>
      <w:r>
        <w:rPr>
          <w:rStyle w:val="FootnoteReference"/>
          <w:lang w:val="en-GB"/>
        </w:rPr>
        <w:footnoteReference w:id="58"/>
      </w:r>
      <w:r>
        <w:rPr>
          <w:lang w:val="en-GB"/>
        </w:rPr>
        <w:t xml:space="preserve"> and that the level of mainland activity is almost limited to one </w:t>
      </w:r>
      <w:r w:rsidRPr="00EE0FA3">
        <w:rPr>
          <w:lang w:val="en-GB"/>
        </w:rPr>
        <w:t>platform operated by Norwegians employing French support personnel</w:t>
      </w:r>
      <w:r>
        <w:rPr>
          <w:rStyle w:val="FootnoteReference"/>
          <w:lang w:val="en-GB"/>
        </w:rPr>
        <w:footnoteReference w:id="59"/>
      </w:r>
      <w:r>
        <w:rPr>
          <w:lang w:val="en-GB"/>
        </w:rPr>
        <w:t xml:space="preserve">, we can estimate that </w:t>
      </w:r>
      <w:r w:rsidRPr="00EE0FA3">
        <w:rPr>
          <w:lang w:val="en-GB"/>
        </w:rPr>
        <w:t>maximum 1</w:t>
      </w:r>
      <w:r>
        <w:rPr>
          <w:lang w:val="en-GB"/>
        </w:rPr>
        <w:t>,</w:t>
      </w:r>
      <w:r w:rsidRPr="00EE0FA3">
        <w:rPr>
          <w:lang w:val="en-GB"/>
        </w:rPr>
        <w:t>000 staff out of the 27</w:t>
      </w:r>
      <w:r>
        <w:rPr>
          <w:lang w:val="en-GB"/>
        </w:rPr>
        <w:t>,</w:t>
      </w:r>
      <w:r w:rsidRPr="00EE0FA3">
        <w:rPr>
          <w:lang w:val="en-GB"/>
        </w:rPr>
        <w:t>000 can be labelled as French mainland offshore activity related employment</w:t>
      </w:r>
      <w:r>
        <w:rPr>
          <w:lang w:val="en-GB"/>
        </w:rPr>
        <w:t>. The remaining share of French offshore oil and gas activities occur off the coasts of its overseas territories</w:t>
      </w:r>
      <w:r>
        <w:rPr>
          <w:rStyle w:val="FootnoteReference"/>
          <w:lang w:val="en-GB"/>
        </w:rPr>
        <w:footnoteReference w:id="60"/>
      </w:r>
      <w:r>
        <w:rPr>
          <w:lang w:val="en-GB"/>
        </w:rPr>
        <w:t xml:space="preserve">. </w:t>
      </w:r>
    </w:p>
    <w:p w:rsidR="00FB1D0C" w:rsidRDefault="00FB1D0C" w:rsidP="00FB1D0C">
      <w:pPr>
        <w:ind w:left="-47"/>
        <w:rPr>
          <w:lang w:val="en-GB"/>
        </w:rPr>
      </w:pPr>
      <w:r w:rsidRPr="008E68FB">
        <w:rPr>
          <w:lang w:val="en-GB"/>
        </w:rPr>
        <w:t xml:space="preserve">In the context of </w:t>
      </w:r>
      <w:r>
        <w:rPr>
          <w:lang w:val="en-GB"/>
        </w:rPr>
        <w:t xml:space="preserve">rising </w:t>
      </w:r>
      <w:r w:rsidRPr="008E68FB">
        <w:rPr>
          <w:lang w:val="en-GB"/>
        </w:rPr>
        <w:t>oil prices and the launch of new explorations, investments in the hydrocarbon s</w:t>
      </w:r>
      <w:r>
        <w:rPr>
          <w:lang w:val="en-GB"/>
        </w:rPr>
        <w:t>ector are expected to continue. 90 French companies are active in the extraction of crude petroleum and natural gas and another 37 companies provide support activities for petroleum and natural gas extraction. France is the second largest exporter of support services to oil and gas extraction, with 18% of the world market share</w:t>
      </w:r>
      <w:r>
        <w:rPr>
          <w:rStyle w:val="FootnoteReference"/>
          <w:lang w:val="en-GB"/>
        </w:rPr>
        <w:footnoteReference w:id="61"/>
      </w:r>
      <w:r>
        <w:rPr>
          <w:lang w:val="en-GB"/>
        </w:rPr>
        <w:t xml:space="preserve">. </w:t>
      </w:r>
    </w:p>
    <w:p w:rsidR="00C06D08" w:rsidRDefault="00FB1D0C" w:rsidP="00FB1D0C">
      <w:pPr>
        <w:rPr>
          <w:lang w:val="en-GB"/>
        </w:rPr>
      </w:pPr>
      <w:r>
        <w:rPr>
          <w:lang w:val="en-GB"/>
        </w:rPr>
        <w:t xml:space="preserve">Among France’s major players, we can count </w:t>
      </w:r>
      <w:r w:rsidRPr="008E68FB">
        <w:rPr>
          <w:lang w:val="en-GB"/>
        </w:rPr>
        <w:t>Bourbon</w:t>
      </w:r>
      <w:r>
        <w:rPr>
          <w:lang w:val="en-GB"/>
        </w:rPr>
        <w:t xml:space="preserve"> (third place in the top ten of offshore maritime services), Technip, CGGVeritas and </w:t>
      </w:r>
      <w:r w:rsidRPr="008E68FB">
        <w:rPr>
          <w:lang w:val="en-GB"/>
        </w:rPr>
        <w:t>Louis Dreyfus Armateurs</w:t>
      </w:r>
      <w:r>
        <w:rPr>
          <w:lang w:val="en-GB"/>
        </w:rPr>
        <w:t>.</w:t>
      </w:r>
    </w:p>
    <w:p w:rsidR="007368F6" w:rsidRDefault="007368F6" w:rsidP="00FB1D0C">
      <w:pPr>
        <w:ind w:left="-47"/>
        <w:rPr>
          <w:b/>
          <w:i/>
          <w:lang w:val="en-GB"/>
        </w:rPr>
      </w:pPr>
    </w:p>
    <w:p w:rsidR="00FB1D0C" w:rsidRPr="00A472D7" w:rsidRDefault="00FB1D0C" w:rsidP="00FB1D0C">
      <w:pPr>
        <w:ind w:left="-47"/>
        <w:rPr>
          <w:b/>
          <w:i/>
          <w:lang w:val="en-GB"/>
        </w:rPr>
      </w:pPr>
      <w:r w:rsidRPr="00A472D7">
        <w:rPr>
          <w:b/>
          <w:i/>
          <w:lang w:val="en-GB"/>
        </w:rPr>
        <w:t xml:space="preserve">Offshore wind </w:t>
      </w:r>
    </w:p>
    <w:p w:rsidR="00FB1D0C" w:rsidRPr="00522A64" w:rsidRDefault="00FB1D0C" w:rsidP="00FB1D0C">
      <w:pPr>
        <w:ind w:left="-47"/>
        <w:rPr>
          <w:lang w:val="en-GB"/>
        </w:rPr>
      </w:pPr>
      <w:r>
        <w:rPr>
          <w:lang w:val="en-GB"/>
        </w:rPr>
        <w:t>At present, no offshore wind energy has been developed in France. However, t</w:t>
      </w:r>
      <w:r w:rsidRPr="00522A64">
        <w:rPr>
          <w:lang w:val="en-GB"/>
        </w:rPr>
        <w:t xml:space="preserve">he development plan for renewable energy from the </w:t>
      </w:r>
      <w:r>
        <w:rPr>
          <w:lang w:val="en-GB"/>
        </w:rPr>
        <w:t>‘</w:t>
      </w:r>
      <w:r w:rsidRPr="00522A64">
        <w:rPr>
          <w:lang w:val="en-GB"/>
        </w:rPr>
        <w:t xml:space="preserve">Grenelle </w:t>
      </w:r>
      <w:r>
        <w:rPr>
          <w:lang w:val="en-GB"/>
        </w:rPr>
        <w:t>de la Mer’’</w:t>
      </w:r>
      <w:r>
        <w:rPr>
          <w:rStyle w:val="FootnoteReference"/>
          <w:lang w:val="en-GB"/>
        </w:rPr>
        <w:footnoteReference w:id="62"/>
      </w:r>
      <w:r w:rsidRPr="00522A64">
        <w:rPr>
          <w:lang w:val="en-GB"/>
        </w:rPr>
        <w:t xml:space="preserve"> </w:t>
      </w:r>
      <w:r>
        <w:rPr>
          <w:lang w:val="en-GB"/>
        </w:rPr>
        <w:t xml:space="preserve">aimed at ensuring that 3% of all energy consumed will be generated from marine energy by the year 2020, most of which would be made possible by the installation of 6,000 MW of mostly offshore wind turbines (around 1200) off the French coast. </w:t>
      </w:r>
      <w:r w:rsidR="009F5294">
        <w:rPr>
          <w:lang w:val="en-GB"/>
        </w:rPr>
        <w:t xml:space="preserve">At least two opportunities arise for France. </w:t>
      </w:r>
      <w:r>
        <w:rPr>
          <w:lang w:val="en-GB"/>
        </w:rPr>
        <w:t xml:space="preserve">On the one side, such project relates to the ‘climate and energy package’ commitments. On the other side, offshore wind is also seen as an opportunity to </w:t>
      </w:r>
      <w:r w:rsidRPr="00522A64">
        <w:rPr>
          <w:lang w:val="en-GB"/>
        </w:rPr>
        <w:t>create a leading industrial sector with tens of thousands of sustainable jobs.</w:t>
      </w:r>
    </w:p>
    <w:p w:rsidR="00FB1D0C" w:rsidRPr="00522A64" w:rsidRDefault="00FB1D0C" w:rsidP="00A472D7">
      <w:pPr>
        <w:rPr>
          <w:lang w:val="en-GB"/>
        </w:rPr>
      </w:pPr>
      <w:r>
        <w:rPr>
          <w:lang w:val="en-GB"/>
        </w:rPr>
        <w:t xml:space="preserve">The </w:t>
      </w:r>
      <w:r w:rsidRPr="00522A64">
        <w:rPr>
          <w:lang w:val="en-GB"/>
        </w:rPr>
        <w:t xml:space="preserve">potential for offshore production in France is estimated at </w:t>
      </w:r>
      <w:r>
        <w:rPr>
          <w:lang w:val="en-GB"/>
        </w:rPr>
        <w:t>1500 MW by 2030</w:t>
      </w:r>
      <w:r>
        <w:rPr>
          <w:rStyle w:val="FootnoteReference"/>
          <w:lang w:val="en-GB"/>
        </w:rPr>
        <w:footnoteReference w:id="63"/>
      </w:r>
      <w:r>
        <w:rPr>
          <w:lang w:val="en-GB"/>
        </w:rPr>
        <w:t xml:space="preserve">, </w:t>
      </w:r>
      <w:r w:rsidRPr="00DD30C5">
        <w:rPr>
          <w:lang w:val="en-GB"/>
        </w:rPr>
        <w:t>according to a roadmap designed by the association of renewable energies SER.</w:t>
      </w:r>
      <w:r>
        <w:rPr>
          <w:lang w:val="en-GB"/>
        </w:rPr>
        <w:t xml:space="preserve"> </w:t>
      </w:r>
      <w:r w:rsidRPr="00DD30C5">
        <w:rPr>
          <w:lang w:val="en-GB"/>
        </w:rPr>
        <w:t xml:space="preserve">The roadmap takes into account the marine potential to be exploited, the industrial capacity of operators and the cooperation among the different parties involved. This objective </w:t>
      </w:r>
      <w:r w:rsidR="00273DC6">
        <w:rPr>
          <w:lang w:val="en-GB"/>
        </w:rPr>
        <w:t>is expected to</w:t>
      </w:r>
      <w:r w:rsidRPr="00DD30C5">
        <w:rPr>
          <w:lang w:val="en-GB"/>
        </w:rPr>
        <w:t xml:space="preserve"> enable the creation of 30,000 jobs in total</w:t>
      </w:r>
      <w:r>
        <w:rPr>
          <w:rStyle w:val="FootnoteReference"/>
          <w:lang w:val="en-GB"/>
        </w:rPr>
        <w:footnoteReference w:id="64"/>
      </w:r>
      <w:r>
        <w:rPr>
          <w:lang w:val="en-GB"/>
        </w:rPr>
        <w:t>.</w:t>
      </w:r>
      <w:r w:rsidR="00273DC6">
        <w:rPr>
          <w:lang w:val="en-GB"/>
        </w:rPr>
        <w:t xml:space="preserve"> However, France must cope with its relative deep water level, which reduces the extent of areas where wind turbines can be installed. </w:t>
      </w:r>
      <w:r>
        <w:rPr>
          <w:lang w:val="en-GB"/>
        </w:rPr>
        <w:t xml:space="preserve">In 2011, France launched the </w:t>
      </w:r>
      <w:r w:rsidRPr="00522A64">
        <w:rPr>
          <w:lang w:val="en-GB"/>
        </w:rPr>
        <w:t xml:space="preserve">first </w:t>
      </w:r>
      <w:r>
        <w:rPr>
          <w:lang w:val="en-GB"/>
        </w:rPr>
        <w:t>public tender</w:t>
      </w:r>
      <w:r w:rsidRPr="00522A64">
        <w:rPr>
          <w:lang w:val="en-GB"/>
        </w:rPr>
        <w:t xml:space="preserve"> on offshore wind energy</w:t>
      </w:r>
      <w:r>
        <w:rPr>
          <w:lang w:val="en-GB"/>
        </w:rPr>
        <w:t>. The results have been announced in April 2012: 5</w:t>
      </w:r>
      <w:r w:rsidRPr="00522A64">
        <w:rPr>
          <w:lang w:val="en-GB"/>
        </w:rPr>
        <w:t xml:space="preserve"> sites</w:t>
      </w:r>
      <w:r>
        <w:rPr>
          <w:lang w:val="en-GB"/>
        </w:rPr>
        <w:t xml:space="preserve"> were chosen to for the installation of about 3000 MW. </w:t>
      </w:r>
      <w:r w:rsidRPr="00522A64">
        <w:rPr>
          <w:lang w:val="en-GB"/>
        </w:rPr>
        <w:t xml:space="preserve">EDF EN consortium </w:t>
      </w:r>
      <w:r>
        <w:rPr>
          <w:lang w:val="en-GB"/>
        </w:rPr>
        <w:lastRenderedPageBreak/>
        <w:t xml:space="preserve">has won </w:t>
      </w:r>
      <w:r w:rsidRPr="00522A64">
        <w:rPr>
          <w:lang w:val="en-GB"/>
        </w:rPr>
        <w:t xml:space="preserve">3 </w:t>
      </w:r>
      <w:r>
        <w:rPr>
          <w:lang w:val="en-GB"/>
        </w:rPr>
        <w:t>out of the 4 attributed sites. The fifth one (the so-called Tréport project) has finally been cancelled</w:t>
      </w:r>
      <w:r>
        <w:rPr>
          <w:rStyle w:val="FootnoteReference"/>
          <w:lang w:val="en-GB"/>
        </w:rPr>
        <w:footnoteReference w:id="65"/>
      </w:r>
      <w:r>
        <w:rPr>
          <w:lang w:val="en-GB"/>
        </w:rPr>
        <w:t xml:space="preserve">. </w:t>
      </w:r>
    </w:p>
    <w:p w:rsidR="00FB1D0C" w:rsidRPr="00934326" w:rsidRDefault="00FB1D0C" w:rsidP="00FB1D0C">
      <w:pPr>
        <w:pStyle w:val="ListParagraph"/>
        <w:numPr>
          <w:ilvl w:val="0"/>
          <w:numId w:val="7"/>
        </w:numPr>
        <w:ind w:left="412"/>
        <w:rPr>
          <w:lang w:val="en-GB"/>
        </w:rPr>
      </w:pPr>
      <w:r w:rsidRPr="00934326">
        <w:rPr>
          <w:lang w:val="en-GB"/>
        </w:rPr>
        <w:t>EDF EN and Dong Energy, in a consortium with Eolien Maritime France, were awarded three of the four sites:</w:t>
      </w:r>
    </w:p>
    <w:p w:rsidR="00FB1D0C" w:rsidRPr="00934326" w:rsidRDefault="00FB1D0C" w:rsidP="00FB1D0C">
      <w:pPr>
        <w:pStyle w:val="ListParagraph"/>
        <w:numPr>
          <w:ilvl w:val="0"/>
          <w:numId w:val="7"/>
        </w:numPr>
        <w:ind w:left="412"/>
        <w:rPr>
          <w:lang w:val="en-GB"/>
        </w:rPr>
      </w:pPr>
      <w:r w:rsidRPr="00934326">
        <w:rPr>
          <w:lang w:val="en-GB"/>
        </w:rPr>
        <w:t>Courseulles-sur-Mer (Calvados, a power project of 450 MW);</w:t>
      </w:r>
    </w:p>
    <w:p w:rsidR="00FB1D0C" w:rsidRPr="0007453F" w:rsidRDefault="00FB1D0C" w:rsidP="00FB1D0C">
      <w:pPr>
        <w:pStyle w:val="ListParagraph"/>
        <w:numPr>
          <w:ilvl w:val="0"/>
          <w:numId w:val="7"/>
        </w:numPr>
        <w:ind w:left="412"/>
      </w:pPr>
      <w:r w:rsidRPr="0007453F">
        <w:t>Fécamp (Seine Maritime, power 498 MW);</w:t>
      </w:r>
    </w:p>
    <w:p w:rsidR="00FB1D0C" w:rsidRPr="00934326" w:rsidRDefault="00FB1D0C" w:rsidP="00FB1D0C">
      <w:pPr>
        <w:pStyle w:val="ListParagraph"/>
        <w:numPr>
          <w:ilvl w:val="0"/>
          <w:numId w:val="7"/>
        </w:numPr>
        <w:ind w:left="412"/>
        <w:rPr>
          <w:lang w:val="en-GB"/>
        </w:rPr>
      </w:pPr>
      <w:r w:rsidRPr="00934326">
        <w:rPr>
          <w:lang w:val="en-GB"/>
        </w:rPr>
        <w:t>Saint-Nazaire (Loire-Atlantique, capacity of 480 MW).</w:t>
      </w:r>
    </w:p>
    <w:p w:rsidR="00FB1D0C" w:rsidRPr="00522A64" w:rsidRDefault="00FB1D0C" w:rsidP="00FB1D0C">
      <w:pPr>
        <w:ind w:left="-47"/>
        <w:rPr>
          <w:lang w:val="en-GB"/>
        </w:rPr>
      </w:pPr>
      <w:r w:rsidRPr="00522A64">
        <w:rPr>
          <w:lang w:val="en-GB"/>
        </w:rPr>
        <w:t>Alstom will supply these different sites of wind turbines with a unit capacity of 6 MW. The group will build two plants in Saint-Na</w:t>
      </w:r>
      <w:r>
        <w:rPr>
          <w:lang w:val="en-GB"/>
        </w:rPr>
        <w:t xml:space="preserve">zaire (generators and carriers). </w:t>
      </w:r>
    </w:p>
    <w:p w:rsidR="00FB1D0C" w:rsidRPr="00522A64" w:rsidRDefault="00FB1D0C" w:rsidP="00FB1D0C">
      <w:pPr>
        <w:ind w:left="-47"/>
        <w:rPr>
          <w:lang w:val="en-GB"/>
        </w:rPr>
      </w:pPr>
      <w:r w:rsidRPr="00522A64">
        <w:rPr>
          <w:lang w:val="en-GB"/>
        </w:rPr>
        <w:t>Marines SAS, involving mainly the Spanish group Iberdrola and Eole-RES wings, is the recipient of the Saint-Brieuc (Côtes d'Armor, 500 MW). Their turb</w:t>
      </w:r>
      <w:r>
        <w:rPr>
          <w:lang w:val="en-GB"/>
        </w:rPr>
        <w:t>ines will be supplied by Areva.</w:t>
      </w:r>
    </w:p>
    <w:p w:rsidR="007F22B2" w:rsidRDefault="00FB1D0C" w:rsidP="00FB1D0C">
      <w:pPr>
        <w:rPr>
          <w:lang w:val="en-GB"/>
        </w:rPr>
      </w:pPr>
      <w:r w:rsidRPr="00522A64">
        <w:rPr>
          <w:lang w:val="en-GB"/>
        </w:rPr>
        <w:t xml:space="preserve">In total, more than twenty projects </w:t>
      </w:r>
      <w:r>
        <w:rPr>
          <w:lang w:val="en-GB"/>
        </w:rPr>
        <w:t xml:space="preserve">have been planned </w:t>
      </w:r>
      <w:r w:rsidRPr="00522A64">
        <w:rPr>
          <w:lang w:val="en-GB"/>
        </w:rPr>
        <w:t xml:space="preserve">on French coastlines. In January 2013, the Ministry in charge of Energy has launched a second </w:t>
      </w:r>
      <w:r>
        <w:rPr>
          <w:lang w:val="en-GB"/>
        </w:rPr>
        <w:t xml:space="preserve">call for tenders including an extra </w:t>
      </w:r>
      <w:r w:rsidRPr="00522A64">
        <w:rPr>
          <w:lang w:val="en-GB"/>
        </w:rPr>
        <w:t>1000 MW</w:t>
      </w:r>
      <w:r>
        <w:rPr>
          <w:lang w:val="en-GB"/>
        </w:rPr>
        <w:t>.</w:t>
      </w:r>
    </w:p>
    <w:p w:rsidR="00FB1D0C" w:rsidRPr="00A472D7" w:rsidRDefault="00FB1D0C" w:rsidP="00FB1D0C">
      <w:pPr>
        <w:ind w:left="-47"/>
        <w:rPr>
          <w:b/>
          <w:i/>
          <w:lang w:val="en-GB"/>
        </w:rPr>
      </w:pPr>
      <w:r w:rsidRPr="00A472D7">
        <w:rPr>
          <w:b/>
          <w:i/>
          <w:lang w:val="en-GB"/>
        </w:rPr>
        <w:t xml:space="preserve">Ocean renewable energy </w:t>
      </w:r>
    </w:p>
    <w:p w:rsidR="00FB1D0C" w:rsidRDefault="00FB1D0C" w:rsidP="00FB1D0C">
      <w:pPr>
        <w:ind w:left="-47"/>
        <w:rPr>
          <w:lang w:val="en-GB"/>
        </w:rPr>
      </w:pPr>
      <w:r>
        <w:rPr>
          <w:lang w:val="en-GB"/>
        </w:rPr>
        <w:t>Ocean renewable energy is a relatively new form of renewable energy, possibly with the exception of tidal range installations. France has developed the first and so far only tidal barrage in Europe</w:t>
      </w:r>
      <w:r w:rsidR="00B4222C">
        <w:rPr>
          <w:rStyle w:val="FootnoteReference"/>
          <w:lang w:val="en-GB"/>
        </w:rPr>
        <w:footnoteReference w:id="66"/>
      </w:r>
      <w:r>
        <w:rPr>
          <w:lang w:val="en-GB"/>
        </w:rPr>
        <w:t>: buil</w:t>
      </w:r>
      <w:r w:rsidR="00B4222C">
        <w:rPr>
          <w:lang w:val="en-GB"/>
        </w:rPr>
        <w:t>t</w:t>
      </w:r>
      <w:r>
        <w:rPr>
          <w:lang w:val="en-GB"/>
        </w:rPr>
        <w:t xml:space="preserve"> in 1966, the ‘La Rance barrage’ is a 240 MW tidal </w:t>
      </w:r>
      <w:r w:rsidR="00B4222C">
        <w:rPr>
          <w:lang w:val="en-GB"/>
        </w:rPr>
        <w:t xml:space="preserve">range </w:t>
      </w:r>
      <w:r>
        <w:rPr>
          <w:lang w:val="en-GB"/>
        </w:rPr>
        <w:t>plant situated at an estuary into the Gulf of St. Malo in the Ile-et-Vilaine department</w:t>
      </w:r>
      <w:r>
        <w:rPr>
          <w:rStyle w:val="FootnoteReference"/>
          <w:lang w:val="en-GB"/>
        </w:rPr>
        <w:footnoteReference w:id="67"/>
      </w:r>
      <w:r w:rsidR="002523BE" w:rsidRPr="002523BE">
        <w:rPr>
          <w:lang w:val="en-GB"/>
        </w:rPr>
        <w:t>24 turbines were installed with a capacity of 240 MW. Its annual output is about 600 GWh</w:t>
      </w:r>
      <w:r w:rsidR="00B4222C">
        <w:rPr>
          <w:rStyle w:val="FootnoteReference"/>
          <w:lang w:val="en-GB"/>
        </w:rPr>
        <w:footnoteReference w:id="68"/>
      </w:r>
      <w:r w:rsidR="002523BE" w:rsidRPr="002523BE">
        <w:rPr>
          <w:lang w:val="en-GB"/>
        </w:rPr>
        <w:t>.</w:t>
      </w:r>
      <w:r w:rsidR="002523BE">
        <w:rPr>
          <w:lang w:val="en-GB"/>
        </w:rPr>
        <w:t xml:space="preserve"> </w:t>
      </w:r>
      <w:r>
        <w:rPr>
          <w:lang w:val="en-GB"/>
        </w:rPr>
        <w:t xml:space="preserve">Several other initiatives are currently in their R&amp;D stages. </w:t>
      </w:r>
    </w:p>
    <w:p w:rsidR="00FB1D0C" w:rsidRDefault="00FB1D0C" w:rsidP="00FB1D0C">
      <w:pPr>
        <w:ind w:left="-47"/>
        <w:rPr>
          <w:lang w:val="en-GB"/>
        </w:rPr>
      </w:pPr>
      <w:r>
        <w:rPr>
          <w:lang w:val="en-GB"/>
        </w:rPr>
        <w:t xml:space="preserve">According to the French government, and taking into consideration the characteristics of French territory as well as the development potential of the different technologies,  </w:t>
      </w:r>
      <w:r w:rsidRPr="00AE7988">
        <w:rPr>
          <w:lang w:val="en-GB"/>
        </w:rPr>
        <w:t xml:space="preserve">France has a strong growth potential for </w:t>
      </w:r>
      <w:r>
        <w:rPr>
          <w:lang w:val="en-GB"/>
        </w:rPr>
        <w:t xml:space="preserve">ocean renewable </w:t>
      </w:r>
      <w:r w:rsidRPr="00AE7988">
        <w:rPr>
          <w:lang w:val="en-GB"/>
        </w:rPr>
        <w:t>energy</w:t>
      </w:r>
      <w:r>
        <w:rPr>
          <w:lang w:val="en-GB"/>
        </w:rPr>
        <w:t>, most of which is to be found in the overseas department and territories</w:t>
      </w:r>
      <w:r>
        <w:rPr>
          <w:rStyle w:val="FootnoteReference"/>
          <w:lang w:val="en-GB"/>
        </w:rPr>
        <w:footnoteReference w:id="69"/>
      </w:r>
      <w:r>
        <w:rPr>
          <w:lang w:val="en-GB"/>
        </w:rPr>
        <w:t xml:space="preserve">: </w:t>
      </w:r>
    </w:p>
    <w:p w:rsidR="00FB1D0C" w:rsidRDefault="00FB1D0C" w:rsidP="00FB1D0C">
      <w:pPr>
        <w:pStyle w:val="ListParagraph"/>
        <w:numPr>
          <w:ilvl w:val="0"/>
          <w:numId w:val="7"/>
        </w:numPr>
        <w:ind w:left="412"/>
        <w:rPr>
          <w:lang w:val="en-GB"/>
        </w:rPr>
      </w:pPr>
      <w:r w:rsidRPr="008C1F61">
        <w:rPr>
          <w:lang w:val="en-GB"/>
        </w:rPr>
        <w:t>ocean thermal energy: a potential</w:t>
      </w:r>
      <w:r>
        <w:rPr>
          <w:lang w:val="en-GB"/>
        </w:rPr>
        <w:t xml:space="preserve"> of </w:t>
      </w:r>
      <w:r w:rsidRPr="008C1F61">
        <w:rPr>
          <w:lang w:val="en-GB"/>
        </w:rPr>
        <w:t>200 MW</w:t>
      </w:r>
      <w:r>
        <w:rPr>
          <w:lang w:val="en-GB"/>
        </w:rPr>
        <w:t>. Martinique currently owns the first production site with a total installed capacity of 10 MW.</w:t>
      </w:r>
    </w:p>
    <w:p w:rsidR="00FB1D0C" w:rsidRDefault="00FB1D0C" w:rsidP="00FB1D0C">
      <w:pPr>
        <w:pStyle w:val="ListParagraph"/>
        <w:numPr>
          <w:ilvl w:val="0"/>
          <w:numId w:val="7"/>
        </w:numPr>
        <w:ind w:left="412"/>
        <w:rPr>
          <w:lang w:val="en-GB"/>
        </w:rPr>
      </w:pPr>
      <w:r>
        <w:rPr>
          <w:lang w:val="en-GB"/>
        </w:rPr>
        <w:t xml:space="preserve">tidal </w:t>
      </w:r>
      <w:r w:rsidRPr="008C1F61">
        <w:rPr>
          <w:lang w:val="en-GB"/>
        </w:rPr>
        <w:t xml:space="preserve">(notably in the North-West French coast): </w:t>
      </w:r>
      <w:r>
        <w:rPr>
          <w:lang w:val="en-GB"/>
        </w:rPr>
        <w:t xml:space="preserve">400 MW; a prototype should be  installed in French Polynesia for a total capacity of 30 Kw </w:t>
      </w:r>
    </w:p>
    <w:p w:rsidR="00FB1D0C" w:rsidRPr="008C1F61" w:rsidRDefault="00FB1D0C" w:rsidP="00FB1D0C">
      <w:pPr>
        <w:pStyle w:val="ListParagraph"/>
        <w:numPr>
          <w:ilvl w:val="0"/>
          <w:numId w:val="7"/>
        </w:numPr>
        <w:ind w:left="412"/>
        <w:rPr>
          <w:lang w:val="en-GB"/>
        </w:rPr>
      </w:pPr>
      <w:r>
        <w:rPr>
          <w:lang w:val="en-GB"/>
        </w:rPr>
        <w:t>t</w:t>
      </w:r>
      <w:r w:rsidRPr="008C1F61">
        <w:rPr>
          <w:lang w:val="en-GB"/>
        </w:rPr>
        <w:t xml:space="preserve">idal barrage: </w:t>
      </w:r>
      <w:r>
        <w:rPr>
          <w:lang w:val="en-GB"/>
        </w:rPr>
        <w:t>500 MW;</w:t>
      </w:r>
    </w:p>
    <w:p w:rsidR="00FB1D0C" w:rsidRPr="008C1F61" w:rsidRDefault="00FB1D0C" w:rsidP="00FB1D0C">
      <w:pPr>
        <w:pStyle w:val="ListParagraph"/>
        <w:numPr>
          <w:ilvl w:val="0"/>
          <w:numId w:val="7"/>
        </w:numPr>
        <w:ind w:left="412"/>
        <w:rPr>
          <w:lang w:val="en-GB"/>
        </w:rPr>
      </w:pPr>
      <w:r>
        <w:rPr>
          <w:lang w:val="en-GB"/>
        </w:rPr>
        <w:t>waves: 200 MW. A first project is being developed in Polynesia and La Réunion.</w:t>
      </w:r>
    </w:p>
    <w:p w:rsidR="00A82B87" w:rsidRDefault="00FB1D0C" w:rsidP="00FB1D0C">
      <w:pPr>
        <w:rPr>
          <w:lang w:val="en-GB"/>
        </w:rPr>
      </w:pPr>
      <w:r>
        <w:rPr>
          <w:lang w:val="en-GB"/>
        </w:rPr>
        <w:t>The main actions foreseen in the ‘Grenelle de la Mer’</w:t>
      </w:r>
      <w:r w:rsidR="00B4222C">
        <w:rPr>
          <w:lang w:val="en-GB"/>
        </w:rPr>
        <w:t>, the French national strategy for sustainable marine development</w:t>
      </w:r>
      <w:r>
        <w:rPr>
          <w:rStyle w:val="FootnoteReference"/>
          <w:lang w:val="en-GB"/>
        </w:rPr>
        <w:footnoteReference w:id="70"/>
      </w:r>
      <w:r>
        <w:rPr>
          <w:lang w:val="en-GB"/>
        </w:rPr>
        <w:t xml:space="preserve"> to achieve these goals </w:t>
      </w:r>
      <w:r w:rsidRPr="00AE7988">
        <w:rPr>
          <w:lang w:val="en-GB"/>
        </w:rPr>
        <w:t>are t</w:t>
      </w:r>
      <w:r>
        <w:rPr>
          <w:lang w:val="en-GB"/>
        </w:rPr>
        <w:t xml:space="preserve">o increase funding for research, support </w:t>
      </w:r>
      <w:r w:rsidRPr="00AE7988">
        <w:rPr>
          <w:lang w:val="en-GB"/>
        </w:rPr>
        <w:t>for testing and sea trials</w:t>
      </w:r>
      <w:r>
        <w:rPr>
          <w:lang w:val="en-GB"/>
        </w:rPr>
        <w:t>. In parallel, the creation of a marine regional cluster that combines t</w:t>
      </w:r>
      <w:r w:rsidRPr="00AE7988">
        <w:rPr>
          <w:lang w:val="en-GB"/>
        </w:rPr>
        <w:t xml:space="preserve">he Atlantic and Mediterranean coasts </w:t>
      </w:r>
      <w:r>
        <w:rPr>
          <w:lang w:val="en-GB"/>
        </w:rPr>
        <w:t xml:space="preserve">helps structuring the sector </w:t>
      </w:r>
      <w:r w:rsidRPr="00AE7988">
        <w:rPr>
          <w:lang w:val="en-GB"/>
        </w:rPr>
        <w:t>by bringing together researchers, industrial and educational centres.</w:t>
      </w:r>
      <w:r>
        <w:rPr>
          <w:lang w:val="en-GB"/>
        </w:rPr>
        <w:t xml:space="preserve"> A partnership (the so-called IPANEMA initiative) has also been concluded </w:t>
      </w:r>
      <w:r w:rsidRPr="00AE7988">
        <w:rPr>
          <w:lang w:val="en-GB"/>
        </w:rPr>
        <w:t xml:space="preserve">with stakeholders to promote the development of </w:t>
      </w:r>
      <w:r>
        <w:rPr>
          <w:lang w:val="en-GB"/>
        </w:rPr>
        <w:t xml:space="preserve">the marine scientific and industrial, </w:t>
      </w:r>
      <w:r w:rsidRPr="00AE7988">
        <w:rPr>
          <w:lang w:val="en-GB"/>
        </w:rPr>
        <w:t xml:space="preserve">create a network of French actors, develop sea trials sites and facilitate the development </w:t>
      </w:r>
      <w:r>
        <w:rPr>
          <w:lang w:val="en-GB"/>
        </w:rPr>
        <w:t xml:space="preserve">of </w:t>
      </w:r>
      <w:r w:rsidRPr="00AE7988">
        <w:rPr>
          <w:lang w:val="en-GB"/>
        </w:rPr>
        <w:t>demonstrators</w:t>
      </w:r>
      <w:r>
        <w:rPr>
          <w:rStyle w:val="FootnoteReference"/>
          <w:lang w:val="en-GB"/>
        </w:rPr>
        <w:footnoteReference w:id="71"/>
      </w:r>
      <w:r w:rsidRPr="00AE7988">
        <w:rPr>
          <w:lang w:val="en-GB"/>
        </w:rPr>
        <w:t xml:space="preserve">.  </w:t>
      </w:r>
    </w:p>
    <w:p w:rsidR="00FB1D0C" w:rsidRPr="00A472D7" w:rsidRDefault="00FB1D0C" w:rsidP="00FB1D0C">
      <w:pPr>
        <w:ind w:left="-47"/>
        <w:rPr>
          <w:b/>
          <w:i/>
          <w:lang w:val="en-GB"/>
        </w:rPr>
      </w:pPr>
      <w:r w:rsidRPr="00A472D7">
        <w:rPr>
          <w:b/>
          <w:i/>
          <w:lang w:val="en-GB"/>
        </w:rPr>
        <w:lastRenderedPageBreak/>
        <w:t xml:space="preserve">Carbon Capture and storage </w:t>
      </w:r>
    </w:p>
    <w:p w:rsidR="00FB1D0C" w:rsidRPr="00070D8F" w:rsidRDefault="00FB1D0C" w:rsidP="00FB1D0C">
      <w:pPr>
        <w:ind w:left="-47"/>
        <w:rPr>
          <w:lang w:val="en-GB"/>
        </w:rPr>
      </w:pPr>
      <w:r w:rsidRPr="00070D8F">
        <w:rPr>
          <w:lang w:val="en-GB"/>
        </w:rPr>
        <w:t>Although most of</w:t>
      </w:r>
      <w:r>
        <w:rPr>
          <w:lang w:val="en-GB"/>
        </w:rPr>
        <w:t xml:space="preserve"> France’s electricity is </w:t>
      </w:r>
      <w:r w:rsidRPr="00070D8F">
        <w:rPr>
          <w:lang w:val="en-GB"/>
        </w:rPr>
        <w:t xml:space="preserve">low-carbon (due to nuclear and hydro), France </w:t>
      </w:r>
      <w:r>
        <w:rPr>
          <w:lang w:val="en-GB"/>
        </w:rPr>
        <w:t xml:space="preserve">has showed interest for this </w:t>
      </w:r>
      <w:r w:rsidRPr="00070D8F">
        <w:rPr>
          <w:lang w:val="en-GB"/>
        </w:rPr>
        <w:t>emerging technology.</w:t>
      </w:r>
      <w:r>
        <w:rPr>
          <w:lang w:val="en-GB"/>
        </w:rPr>
        <w:t xml:space="preserve"> </w:t>
      </w:r>
      <w:r w:rsidRPr="00070D8F">
        <w:rPr>
          <w:lang w:val="en-GB"/>
        </w:rPr>
        <w:t xml:space="preserve">Gaz de France </w:t>
      </w:r>
      <w:r>
        <w:rPr>
          <w:lang w:val="en-GB"/>
        </w:rPr>
        <w:t xml:space="preserve">has estimated France’s storage potential up to several </w:t>
      </w:r>
      <w:r w:rsidRPr="00070D8F">
        <w:rPr>
          <w:lang w:val="en-GB"/>
        </w:rPr>
        <w:t>billions of tons: 320-10000 Gt in saline aquifer, 500-2000 Gt in depleted gas and oil</w:t>
      </w:r>
      <w:r>
        <w:rPr>
          <w:lang w:val="en-GB"/>
        </w:rPr>
        <w:t xml:space="preserve"> fields and some Gt in coal seams.</w:t>
      </w:r>
    </w:p>
    <w:p w:rsidR="00FB1D0C" w:rsidRPr="00070D8F" w:rsidRDefault="00FB1D0C" w:rsidP="00FB1D0C">
      <w:pPr>
        <w:ind w:left="-47"/>
        <w:rPr>
          <w:lang w:val="en-GB"/>
        </w:rPr>
      </w:pPr>
      <w:r>
        <w:rPr>
          <w:lang w:val="en-GB"/>
        </w:rPr>
        <w:t>The French</w:t>
      </w:r>
      <w:r w:rsidRPr="00070D8F">
        <w:rPr>
          <w:lang w:val="en-GB"/>
        </w:rPr>
        <w:t xml:space="preserve"> Environment Agency and Energy Management (ADEME) has </w:t>
      </w:r>
      <w:r>
        <w:rPr>
          <w:lang w:val="en-GB"/>
        </w:rPr>
        <w:t xml:space="preserve">recently </w:t>
      </w:r>
      <w:r w:rsidRPr="00070D8F">
        <w:rPr>
          <w:lang w:val="en-GB"/>
        </w:rPr>
        <w:t xml:space="preserve">announced plans </w:t>
      </w:r>
      <w:r>
        <w:rPr>
          <w:lang w:val="en-GB"/>
        </w:rPr>
        <w:t xml:space="preserve">of up to € </w:t>
      </w:r>
      <w:r w:rsidRPr="00070D8F">
        <w:rPr>
          <w:lang w:val="en-GB"/>
        </w:rPr>
        <w:t xml:space="preserve">45 million </w:t>
      </w:r>
      <w:r>
        <w:rPr>
          <w:lang w:val="en-GB"/>
        </w:rPr>
        <w:t xml:space="preserve">to </w:t>
      </w:r>
      <w:r w:rsidRPr="00070D8F">
        <w:rPr>
          <w:lang w:val="en-GB"/>
        </w:rPr>
        <w:t xml:space="preserve">co-finance three </w:t>
      </w:r>
      <w:r>
        <w:rPr>
          <w:lang w:val="en-GB"/>
        </w:rPr>
        <w:t>experiments</w:t>
      </w:r>
      <w:r w:rsidRPr="00070D8F">
        <w:rPr>
          <w:lang w:val="en-GB"/>
        </w:rPr>
        <w:t>. Led by EDF, the C2A2 project aims to test on one of the boilers in the coal plant in Le Havre, a system for capturing carbon dioxide. Using amines (supplied by Dow Cheminal) as solvents, this device can retrieve, from 2013, a ton of CO2 per hour (</w:t>
      </w:r>
      <w:r>
        <w:rPr>
          <w:lang w:val="en-GB"/>
        </w:rPr>
        <w:t xml:space="preserve">and not </w:t>
      </w:r>
      <w:r w:rsidRPr="00070D8F">
        <w:rPr>
          <w:lang w:val="en-GB"/>
        </w:rPr>
        <w:t>more</w:t>
      </w:r>
      <w:r>
        <w:rPr>
          <w:lang w:val="en-GB"/>
        </w:rPr>
        <w:t xml:space="preserve"> than 5.000t/year</w:t>
      </w:r>
      <w:r w:rsidRPr="00070D8F">
        <w:rPr>
          <w:lang w:val="en-GB"/>
        </w:rPr>
        <w:t xml:space="preserve">) </w:t>
      </w:r>
      <w:r>
        <w:rPr>
          <w:lang w:val="en-GB"/>
        </w:rPr>
        <w:t xml:space="preserve">from </w:t>
      </w:r>
      <w:r w:rsidRPr="00070D8F">
        <w:rPr>
          <w:lang w:val="en-GB"/>
        </w:rPr>
        <w:t>gaseous effluents from the plant. Total cost of these four tests:</w:t>
      </w:r>
      <w:r>
        <w:rPr>
          <w:lang w:val="en-GB"/>
        </w:rPr>
        <w:t xml:space="preserve"> </w:t>
      </w:r>
      <w:r>
        <w:rPr>
          <w:rFonts w:cstheme="minorHAnsi"/>
          <w:lang w:val="en-GB"/>
        </w:rPr>
        <w:t>€</w:t>
      </w:r>
      <w:r w:rsidRPr="00070D8F">
        <w:rPr>
          <w:lang w:val="en-GB"/>
        </w:rPr>
        <w:t xml:space="preserve"> 22 million, 25% funded by ADEME</w:t>
      </w:r>
      <w:r>
        <w:rPr>
          <w:rStyle w:val="FootnoteReference"/>
          <w:lang w:val="en-GB"/>
        </w:rPr>
        <w:footnoteReference w:id="72"/>
      </w:r>
      <w:r w:rsidRPr="00070D8F">
        <w:rPr>
          <w:lang w:val="en-GB"/>
        </w:rPr>
        <w:t>.</w:t>
      </w:r>
    </w:p>
    <w:p w:rsidR="00A82B87" w:rsidRDefault="00FB1D0C" w:rsidP="00FB1D0C">
      <w:pPr>
        <w:rPr>
          <w:lang w:val="en-GB"/>
        </w:rPr>
      </w:pPr>
      <w:r>
        <w:rPr>
          <w:lang w:val="en-GB"/>
        </w:rPr>
        <w:t xml:space="preserve">A second project in saline aquifer is led </w:t>
      </w:r>
      <w:r w:rsidRPr="00070D8F">
        <w:rPr>
          <w:lang w:val="en-GB"/>
        </w:rPr>
        <w:t xml:space="preserve">by a consortium of six </w:t>
      </w:r>
      <w:r>
        <w:rPr>
          <w:lang w:val="en-GB"/>
        </w:rPr>
        <w:t>companies</w:t>
      </w:r>
      <w:r w:rsidRPr="00070D8F">
        <w:rPr>
          <w:lang w:val="en-GB"/>
        </w:rPr>
        <w:t xml:space="preserve"> (Air Liquide, EDF, GDF Suez, Lafarge, Total and Vallourec), </w:t>
      </w:r>
      <w:r>
        <w:rPr>
          <w:lang w:val="en-GB"/>
        </w:rPr>
        <w:t xml:space="preserve">although the appropriate site still has to be determined. </w:t>
      </w:r>
      <w:r w:rsidRPr="00070D8F">
        <w:rPr>
          <w:lang w:val="en-GB"/>
        </w:rPr>
        <w:t xml:space="preserve">For two years, the </w:t>
      </w:r>
      <w:r>
        <w:rPr>
          <w:lang w:val="en-GB"/>
        </w:rPr>
        <w:t xml:space="preserve">subsoils </w:t>
      </w:r>
      <w:r w:rsidRPr="00070D8F">
        <w:rPr>
          <w:lang w:val="en-GB"/>
        </w:rPr>
        <w:t xml:space="preserve">of the Centre, Upper Normandy, </w:t>
      </w:r>
      <w:r>
        <w:rPr>
          <w:lang w:val="en-GB"/>
        </w:rPr>
        <w:t>Bourgogne</w:t>
      </w:r>
      <w:r w:rsidRPr="00070D8F">
        <w:rPr>
          <w:lang w:val="en-GB"/>
        </w:rPr>
        <w:t xml:space="preserve">, Champagne-Ardenne, </w:t>
      </w:r>
      <w:r>
        <w:rPr>
          <w:lang w:val="en-GB"/>
        </w:rPr>
        <w:t xml:space="preserve">Picardie and the Ile-de-France will be explored </w:t>
      </w:r>
      <w:r w:rsidRPr="00070D8F">
        <w:rPr>
          <w:lang w:val="en-GB"/>
        </w:rPr>
        <w:t xml:space="preserve">before a storage site is proposed. In a second step, researchers will find </w:t>
      </w:r>
      <w:r>
        <w:rPr>
          <w:lang w:val="en-GB"/>
        </w:rPr>
        <w:t xml:space="preserve">the appropriate </w:t>
      </w:r>
      <w:r w:rsidRPr="00070D8F">
        <w:rPr>
          <w:lang w:val="en-GB"/>
        </w:rPr>
        <w:t xml:space="preserve">industrial sites. Project Cost: </w:t>
      </w:r>
      <w:r>
        <w:rPr>
          <w:rFonts w:cstheme="minorHAnsi"/>
          <w:lang w:val="en-GB"/>
        </w:rPr>
        <w:t>€</w:t>
      </w:r>
      <w:r>
        <w:rPr>
          <w:lang w:val="en-GB"/>
        </w:rPr>
        <w:t xml:space="preserve"> </w:t>
      </w:r>
      <w:r w:rsidRPr="00070D8F">
        <w:rPr>
          <w:lang w:val="en-GB"/>
        </w:rPr>
        <w:t>54 million, 40% paid by ADEME</w:t>
      </w:r>
      <w:r>
        <w:rPr>
          <w:rStyle w:val="FootnoteReference"/>
          <w:lang w:val="en-GB"/>
        </w:rPr>
        <w:footnoteReference w:id="73"/>
      </w:r>
      <w:r w:rsidRPr="00070D8F">
        <w:rPr>
          <w:lang w:val="en-GB"/>
        </w:rPr>
        <w:t>.</w:t>
      </w:r>
    </w:p>
    <w:p w:rsidR="00A82B87" w:rsidRDefault="00A82B87" w:rsidP="00864EAB">
      <w:pPr>
        <w:rPr>
          <w:lang w:val="en-GB"/>
        </w:rPr>
      </w:pPr>
    </w:p>
    <w:p w:rsidR="00FB1D0C" w:rsidRPr="00A472D7" w:rsidRDefault="00FB1D0C" w:rsidP="00FB1D0C">
      <w:pPr>
        <w:ind w:left="-47"/>
        <w:rPr>
          <w:b/>
          <w:i/>
          <w:lang w:val="en-GB"/>
        </w:rPr>
      </w:pPr>
      <w:r w:rsidRPr="00A472D7">
        <w:rPr>
          <w:b/>
          <w:i/>
          <w:lang w:val="en-GB"/>
        </w:rPr>
        <w:t>Aggregates mining</w:t>
      </w:r>
    </w:p>
    <w:p w:rsidR="00FB1D0C" w:rsidRDefault="00FB1D0C" w:rsidP="00FB1D0C">
      <w:pPr>
        <w:ind w:left="-47"/>
        <w:rPr>
          <w:lang w:val="en-GB"/>
        </w:rPr>
      </w:pPr>
      <w:r w:rsidRPr="0035110A">
        <w:rPr>
          <w:lang w:val="en-GB"/>
        </w:rPr>
        <w:t>The marine aggregate</w:t>
      </w:r>
      <w:r>
        <w:rPr>
          <w:lang w:val="en-GB"/>
        </w:rPr>
        <w:t xml:space="preserve">s mining is attracting special attraction in France, notably because of the ever growing difficulties to access onshore fields, in particular alluvial granulates. For this reasons, </w:t>
      </w:r>
      <w:r w:rsidRPr="0035110A">
        <w:rPr>
          <w:lang w:val="en-GB"/>
        </w:rPr>
        <w:t xml:space="preserve">applications for </w:t>
      </w:r>
      <w:r>
        <w:rPr>
          <w:lang w:val="en-GB"/>
        </w:rPr>
        <w:t xml:space="preserve">aggregates </w:t>
      </w:r>
      <w:r w:rsidRPr="0035110A">
        <w:rPr>
          <w:lang w:val="en-GB"/>
        </w:rPr>
        <w:t xml:space="preserve">mining licenses </w:t>
      </w:r>
      <w:r>
        <w:rPr>
          <w:lang w:val="en-GB"/>
        </w:rPr>
        <w:t xml:space="preserve">are becoming numerous especially in the </w:t>
      </w:r>
      <w:r w:rsidRPr="0035110A">
        <w:rPr>
          <w:lang w:val="en-GB"/>
        </w:rPr>
        <w:t>Channel region.</w:t>
      </w:r>
    </w:p>
    <w:p w:rsidR="00A82B87" w:rsidRDefault="00FB1D0C" w:rsidP="00FB1D0C">
      <w:pPr>
        <w:rPr>
          <w:lang w:val="en-GB"/>
        </w:rPr>
      </w:pPr>
      <w:r>
        <w:rPr>
          <w:lang w:val="en-GB"/>
        </w:rPr>
        <w:t>In the aggregate mining sector, d</w:t>
      </w:r>
      <w:r w:rsidRPr="008B0E16">
        <w:rPr>
          <w:lang w:val="en-GB"/>
        </w:rPr>
        <w:t>irect employment is</w:t>
      </w:r>
      <w:r>
        <w:rPr>
          <w:lang w:val="en-GB"/>
        </w:rPr>
        <w:t xml:space="preserve"> estimated, according to Ifremer</w:t>
      </w:r>
      <w:r w:rsidRPr="008B0E16">
        <w:rPr>
          <w:lang w:val="en-GB"/>
        </w:rPr>
        <w:t xml:space="preserve">, </w:t>
      </w:r>
      <w:r>
        <w:rPr>
          <w:lang w:val="en-GB"/>
        </w:rPr>
        <w:t xml:space="preserve">to </w:t>
      </w:r>
      <w:r w:rsidRPr="008B0E16">
        <w:rPr>
          <w:lang w:val="en-GB"/>
        </w:rPr>
        <w:t xml:space="preserve">about 200 sailors and 100 people on the ground (administrative, commercial and technical). There are a dozen companies using 16 different </w:t>
      </w:r>
      <w:r w:rsidRPr="0035110A">
        <w:rPr>
          <w:lang w:val="en-GB"/>
        </w:rPr>
        <w:t>sand dredgers</w:t>
      </w:r>
      <w:r>
        <w:rPr>
          <w:lang w:val="en-GB"/>
        </w:rPr>
        <w:t xml:space="preserve"> of different sizes. </w:t>
      </w:r>
      <w:r w:rsidRPr="008B0E16">
        <w:rPr>
          <w:lang w:val="en-GB"/>
        </w:rPr>
        <w:t xml:space="preserve"> Some of these companies </w:t>
      </w:r>
      <w:r>
        <w:rPr>
          <w:lang w:val="en-GB"/>
        </w:rPr>
        <w:t xml:space="preserve">use the collected materials for their concrete-related </w:t>
      </w:r>
      <w:r w:rsidRPr="008B0E16">
        <w:rPr>
          <w:lang w:val="en-GB"/>
        </w:rPr>
        <w:t xml:space="preserve">operations </w:t>
      </w:r>
      <w:r>
        <w:rPr>
          <w:lang w:val="en-GB"/>
        </w:rPr>
        <w:t xml:space="preserve">or for </w:t>
      </w:r>
      <w:r w:rsidRPr="008B0E16">
        <w:rPr>
          <w:lang w:val="en-GB"/>
        </w:rPr>
        <w:t>p</w:t>
      </w:r>
      <w:r>
        <w:rPr>
          <w:lang w:val="en-GB"/>
        </w:rPr>
        <w:t>ublic works</w:t>
      </w:r>
      <w:r>
        <w:rPr>
          <w:rStyle w:val="FootnoteReference"/>
          <w:lang w:val="en-GB"/>
        </w:rPr>
        <w:footnoteReference w:id="74"/>
      </w:r>
      <w:r w:rsidRPr="008B0E16">
        <w:rPr>
          <w:lang w:val="en-GB"/>
        </w:rPr>
        <w:t>.</w:t>
      </w:r>
    </w:p>
    <w:p w:rsidR="00877EDF" w:rsidRDefault="00877EDF" w:rsidP="00FB1D0C">
      <w:pPr>
        <w:ind w:left="-47"/>
        <w:rPr>
          <w:b/>
          <w:i/>
          <w:lang w:val="en-GB"/>
        </w:rPr>
      </w:pPr>
    </w:p>
    <w:p w:rsidR="00FB1D0C" w:rsidRPr="00A472D7" w:rsidRDefault="00FB1D0C" w:rsidP="00FB1D0C">
      <w:pPr>
        <w:ind w:left="-47"/>
        <w:rPr>
          <w:b/>
          <w:i/>
          <w:lang w:val="en-GB"/>
        </w:rPr>
      </w:pPr>
      <w:r w:rsidRPr="00A472D7">
        <w:rPr>
          <w:b/>
          <w:i/>
          <w:lang w:val="en-GB"/>
        </w:rPr>
        <w:t xml:space="preserve">Marine minerals mining </w:t>
      </w:r>
    </w:p>
    <w:p w:rsidR="00FB1D0C" w:rsidRDefault="00FB1D0C" w:rsidP="00FB1D0C">
      <w:pPr>
        <w:ind w:left="-47"/>
        <w:rPr>
          <w:lang w:val="en-GB"/>
        </w:rPr>
      </w:pPr>
      <w:r>
        <w:rPr>
          <w:lang w:val="en-GB"/>
        </w:rPr>
        <w:t xml:space="preserve">France </w:t>
      </w:r>
      <w:r w:rsidRPr="0035110A">
        <w:rPr>
          <w:lang w:val="en-GB"/>
        </w:rPr>
        <w:t xml:space="preserve">has been a pioneer in </w:t>
      </w:r>
      <w:r>
        <w:rPr>
          <w:lang w:val="en-GB"/>
        </w:rPr>
        <w:t xml:space="preserve">marine minerals mining since the 1970s. It possesses </w:t>
      </w:r>
      <w:r w:rsidRPr="0035110A">
        <w:rPr>
          <w:lang w:val="en-GB"/>
        </w:rPr>
        <w:t xml:space="preserve">a set of scientific expertise and technological skills </w:t>
      </w:r>
      <w:r>
        <w:rPr>
          <w:lang w:val="en-GB"/>
        </w:rPr>
        <w:t xml:space="preserve">on marine subsoils and mineral exploitation: </w:t>
      </w:r>
      <w:r w:rsidRPr="0035110A">
        <w:rPr>
          <w:lang w:val="en-GB"/>
        </w:rPr>
        <w:t>Ifremer, BRGM, CNRS and univers</w:t>
      </w:r>
      <w:r>
        <w:rPr>
          <w:lang w:val="en-GB"/>
        </w:rPr>
        <w:t>ities, for public institutions; Technip, Areva and Eramet for</w:t>
      </w:r>
      <w:r w:rsidRPr="0035110A">
        <w:rPr>
          <w:lang w:val="en-GB"/>
        </w:rPr>
        <w:t xml:space="preserve"> the private sector. France </w:t>
      </w:r>
      <w:r>
        <w:rPr>
          <w:lang w:val="en-GB"/>
        </w:rPr>
        <w:t xml:space="preserve">seems </w:t>
      </w:r>
      <w:r w:rsidRPr="0035110A">
        <w:rPr>
          <w:lang w:val="en-GB"/>
        </w:rPr>
        <w:t>thus</w:t>
      </w:r>
      <w:r>
        <w:rPr>
          <w:lang w:val="en-GB"/>
        </w:rPr>
        <w:t xml:space="preserve"> to have</w:t>
      </w:r>
      <w:r w:rsidRPr="0035110A">
        <w:rPr>
          <w:lang w:val="en-GB"/>
        </w:rPr>
        <w:t xml:space="preserve"> the potential to carry out scientific research and</w:t>
      </w:r>
      <w:r>
        <w:rPr>
          <w:lang w:val="en-GB"/>
        </w:rPr>
        <w:t xml:space="preserve"> </w:t>
      </w:r>
      <w:r w:rsidRPr="0035110A">
        <w:rPr>
          <w:lang w:val="en-GB"/>
        </w:rPr>
        <w:t xml:space="preserve">develop innovative technologies for </w:t>
      </w:r>
      <w:r>
        <w:rPr>
          <w:lang w:val="en-GB"/>
        </w:rPr>
        <w:t xml:space="preserve">the </w:t>
      </w:r>
      <w:r w:rsidRPr="0035110A">
        <w:rPr>
          <w:lang w:val="en-GB"/>
        </w:rPr>
        <w:t xml:space="preserve">future access to mineral resources. </w:t>
      </w:r>
      <w:r>
        <w:rPr>
          <w:lang w:val="en-GB"/>
        </w:rPr>
        <w:t xml:space="preserve">Another important advantage is that France has the world’s second most extended </w:t>
      </w:r>
      <w:r w:rsidR="0038256B">
        <w:rPr>
          <w:lang w:val="en-GB"/>
        </w:rPr>
        <w:t>Exclusive E</w:t>
      </w:r>
      <w:r>
        <w:rPr>
          <w:lang w:val="en-GB"/>
        </w:rPr>
        <w:t xml:space="preserve">conomic </w:t>
      </w:r>
      <w:r w:rsidR="0038256B">
        <w:rPr>
          <w:lang w:val="en-GB"/>
        </w:rPr>
        <w:t>Z</w:t>
      </w:r>
      <w:r>
        <w:rPr>
          <w:lang w:val="en-GB"/>
        </w:rPr>
        <w:t>one.</w:t>
      </w:r>
    </w:p>
    <w:p w:rsidR="009F5294" w:rsidRDefault="009F5294" w:rsidP="0029124A">
      <w:pPr>
        <w:ind w:left="-47"/>
        <w:rPr>
          <w:lang w:val="en-GB"/>
        </w:rPr>
      </w:pPr>
      <w:r>
        <w:rPr>
          <w:lang w:val="en-GB"/>
        </w:rPr>
        <w:t xml:space="preserve">In 2009, Ifremer launched </w:t>
      </w:r>
      <w:r w:rsidR="0029124A">
        <w:rPr>
          <w:lang w:val="en-GB"/>
        </w:rPr>
        <w:t>a</w:t>
      </w:r>
      <w:r>
        <w:rPr>
          <w:lang w:val="en-GB"/>
        </w:rPr>
        <w:t xml:space="preserve"> study </w:t>
      </w:r>
      <w:r w:rsidR="0029124A">
        <w:rPr>
          <w:lang w:val="en-GB"/>
        </w:rPr>
        <w:t xml:space="preserve">to analyse the </w:t>
      </w:r>
      <w:r w:rsidR="0029124A" w:rsidRPr="0029124A">
        <w:rPr>
          <w:lang w:val="en-GB"/>
        </w:rPr>
        <w:t>potential of the main deep sea mineral re</w:t>
      </w:r>
      <w:r w:rsidR="0029124A">
        <w:rPr>
          <w:lang w:val="en-GB"/>
        </w:rPr>
        <w:t>sources</w:t>
      </w:r>
      <w:r w:rsidR="00462BBD">
        <w:rPr>
          <w:lang w:val="en-GB"/>
        </w:rPr>
        <w:t xml:space="preserve">, </w:t>
      </w:r>
      <w:r w:rsidR="0029124A" w:rsidRPr="0029124A">
        <w:rPr>
          <w:lang w:val="en-GB"/>
        </w:rPr>
        <w:t xml:space="preserve">the conditions </w:t>
      </w:r>
      <w:r w:rsidR="0029124A">
        <w:rPr>
          <w:lang w:val="en-GB"/>
        </w:rPr>
        <w:t xml:space="preserve">necessary to their development and the ways to best build </w:t>
      </w:r>
      <w:r w:rsidR="0029124A" w:rsidRPr="0029124A">
        <w:rPr>
          <w:lang w:val="en-GB"/>
        </w:rPr>
        <w:t>appropriate strategic partnerships and programs</w:t>
      </w:r>
      <w:r w:rsidR="00462BBD">
        <w:rPr>
          <w:rStyle w:val="FootnoteReference"/>
          <w:lang w:val="en-GB"/>
        </w:rPr>
        <w:footnoteReference w:id="75"/>
      </w:r>
      <w:r w:rsidR="0029124A" w:rsidRPr="0029124A">
        <w:rPr>
          <w:lang w:val="en-GB"/>
        </w:rPr>
        <w:t>.</w:t>
      </w:r>
      <w:r w:rsidR="0029124A">
        <w:rPr>
          <w:lang w:val="en-GB"/>
        </w:rPr>
        <w:t xml:space="preserve"> The </w:t>
      </w:r>
      <w:r w:rsidR="0029124A" w:rsidRPr="0029124A">
        <w:rPr>
          <w:lang w:val="en-GB"/>
        </w:rPr>
        <w:t xml:space="preserve">study </w:t>
      </w:r>
      <w:r w:rsidR="0029124A">
        <w:rPr>
          <w:lang w:val="en-GB"/>
        </w:rPr>
        <w:t xml:space="preserve">gathered information on the different </w:t>
      </w:r>
      <w:r w:rsidR="00B66ADB">
        <w:rPr>
          <w:lang w:val="en-GB"/>
        </w:rPr>
        <w:t xml:space="preserve">French </w:t>
      </w:r>
      <w:r w:rsidR="0029124A">
        <w:rPr>
          <w:lang w:val="en-GB"/>
        </w:rPr>
        <w:t>actors</w:t>
      </w:r>
      <w:r w:rsidR="00462BBD">
        <w:rPr>
          <w:lang w:val="en-GB"/>
        </w:rPr>
        <w:t xml:space="preserve"> i</w:t>
      </w:r>
      <w:r w:rsidR="0029124A">
        <w:rPr>
          <w:lang w:val="en-GB"/>
        </w:rPr>
        <w:t>nvolved</w:t>
      </w:r>
      <w:r w:rsidR="00462BBD">
        <w:rPr>
          <w:lang w:val="en-GB"/>
        </w:rPr>
        <w:t xml:space="preserve">, their work and business dynamics, </w:t>
      </w:r>
      <w:r w:rsidR="0029124A">
        <w:rPr>
          <w:lang w:val="en-GB"/>
        </w:rPr>
        <w:t xml:space="preserve">and presented proposals for action </w:t>
      </w:r>
      <w:r w:rsidR="0029124A" w:rsidRPr="0029124A">
        <w:rPr>
          <w:lang w:val="en-GB"/>
        </w:rPr>
        <w:t xml:space="preserve">in particular for </w:t>
      </w:r>
      <w:r w:rsidR="00462BBD">
        <w:rPr>
          <w:lang w:val="en-GB"/>
        </w:rPr>
        <w:t xml:space="preserve">the </w:t>
      </w:r>
      <w:r w:rsidR="0029124A">
        <w:rPr>
          <w:lang w:val="en-GB"/>
        </w:rPr>
        <w:t xml:space="preserve">R&amp;D development </w:t>
      </w:r>
      <w:r w:rsidR="00462BBD">
        <w:rPr>
          <w:lang w:val="en-GB"/>
        </w:rPr>
        <w:t xml:space="preserve">of </w:t>
      </w:r>
      <w:r w:rsidR="0029124A" w:rsidRPr="0029124A">
        <w:rPr>
          <w:lang w:val="en-GB"/>
        </w:rPr>
        <w:t xml:space="preserve">four types of </w:t>
      </w:r>
      <w:r w:rsidR="0029124A">
        <w:rPr>
          <w:lang w:val="en-GB"/>
        </w:rPr>
        <w:t xml:space="preserve">mineral resources: </w:t>
      </w:r>
      <w:r w:rsidR="0029124A" w:rsidRPr="0029124A">
        <w:rPr>
          <w:lang w:val="en-GB"/>
        </w:rPr>
        <w:t>sulphides, c</w:t>
      </w:r>
      <w:r w:rsidR="0029124A">
        <w:rPr>
          <w:lang w:val="en-GB"/>
        </w:rPr>
        <w:t>obal</w:t>
      </w:r>
      <w:r w:rsidR="00462BBD">
        <w:rPr>
          <w:lang w:val="en-GB"/>
        </w:rPr>
        <w:t xml:space="preserve">t &amp; </w:t>
      </w:r>
      <w:r w:rsidR="0029124A" w:rsidRPr="0029124A">
        <w:rPr>
          <w:lang w:val="en-GB"/>
        </w:rPr>
        <w:t>platinum, polymetallic nodules</w:t>
      </w:r>
      <w:r w:rsidR="0029124A">
        <w:rPr>
          <w:lang w:val="en-GB"/>
        </w:rPr>
        <w:t xml:space="preserve"> and n</w:t>
      </w:r>
      <w:r w:rsidR="0029124A" w:rsidRPr="0029124A">
        <w:rPr>
          <w:lang w:val="en-GB"/>
        </w:rPr>
        <w:t>atural sources of hydrogen</w:t>
      </w:r>
      <w:r w:rsidR="00462BBD">
        <w:rPr>
          <w:rStyle w:val="FootnoteReference"/>
          <w:lang w:val="en-GB"/>
        </w:rPr>
        <w:footnoteReference w:id="76"/>
      </w:r>
      <w:r w:rsidR="0029124A">
        <w:rPr>
          <w:lang w:val="en-GB"/>
        </w:rPr>
        <w:t>.</w:t>
      </w:r>
    </w:p>
    <w:p w:rsidR="00A82B87" w:rsidRDefault="00FB1D0C" w:rsidP="00FB1D0C">
      <w:pPr>
        <w:rPr>
          <w:lang w:val="en-GB"/>
        </w:rPr>
      </w:pPr>
      <w:r>
        <w:rPr>
          <w:lang w:val="en-GB"/>
        </w:rPr>
        <w:t xml:space="preserve">In the context of the "Wallis and Futuna" program, France launched a first campaign </w:t>
      </w:r>
      <w:r w:rsidRPr="0035110A">
        <w:rPr>
          <w:lang w:val="en-GB"/>
        </w:rPr>
        <w:t>which was held from August 3 to September 23, 2010, resulting from the agreement on an initial exploration of the French EEZ around the islands Wallis and Futuna to search for active</w:t>
      </w:r>
      <w:r>
        <w:rPr>
          <w:lang w:val="en-GB"/>
        </w:rPr>
        <w:t xml:space="preserve"> and inactive </w:t>
      </w:r>
      <w:r w:rsidRPr="0035110A">
        <w:rPr>
          <w:lang w:val="en-GB"/>
        </w:rPr>
        <w:t>hydrothermal sites and</w:t>
      </w:r>
      <w:r>
        <w:rPr>
          <w:lang w:val="en-GB"/>
        </w:rPr>
        <w:t xml:space="preserve"> to </w:t>
      </w:r>
      <w:r w:rsidRPr="0035110A">
        <w:rPr>
          <w:lang w:val="en-GB"/>
        </w:rPr>
        <w:t>study</w:t>
      </w:r>
      <w:r>
        <w:rPr>
          <w:lang w:val="en-GB"/>
        </w:rPr>
        <w:t xml:space="preserve"> its </w:t>
      </w:r>
      <w:r w:rsidRPr="0035110A">
        <w:rPr>
          <w:lang w:val="en-GB"/>
        </w:rPr>
        <w:lastRenderedPageBreak/>
        <w:t xml:space="preserve">biodiversity. This </w:t>
      </w:r>
      <w:r>
        <w:rPr>
          <w:lang w:val="en-GB"/>
        </w:rPr>
        <w:t>campaign</w:t>
      </w:r>
      <w:r w:rsidRPr="0035110A">
        <w:rPr>
          <w:lang w:val="en-GB"/>
        </w:rPr>
        <w:t xml:space="preserve"> was made possible through a public / private partnership involving the MEDDTL, AAMP, Ifremer and BRGM for public bodies and Technip, Eramet and Areva for private organizations. Other organizations from academia (CNRS-INSU, IPGP, CEA and UBO) have been associated. It revealed a large area of </w:t>
      </w:r>
      <w:r>
        <w:rPr>
          <w:lang w:val="en-GB"/>
        </w:rPr>
        <w:t>r</w:t>
      </w:r>
      <w:r w:rsidRPr="0035110A">
        <w:rPr>
          <w:lang w:val="en-GB"/>
        </w:rPr>
        <w:t>ecent volcanism (new bac</w:t>
      </w:r>
      <w:r>
        <w:rPr>
          <w:lang w:val="en-GB"/>
        </w:rPr>
        <w:t xml:space="preserve">kbone, new volcanoes) and </w:t>
      </w:r>
      <w:r w:rsidRPr="0035110A">
        <w:rPr>
          <w:lang w:val="en-GB"/>
        </w:rPr>
        <w:t>several hydrothermal deposits</w:t>
      </w:r>
      <w:r>
        <w:rPr>
          <w:rStyle w:val="FootnoteReference"/>
          <w:lang w:val="en-GB"/>
        </w:rPr>
        <w:footnoteReference w:id="77"/>
      </w:r>
      <w:r w:rsidRPr="0035110A">
        <w:rPr>
          <w:lang w:val="en-GB"/>
        </w:rPr>
        <w:t>.</w:t>
      </w:r>
    </w:p>
    <w:p w:rsidR="00877EDF" w:rsidRDefault="00877EDF" w:rsidP="00FB1D0C">
      <w:pPr>
        <w:ind w:left="-47"/>
        <w:rPr>
          <w:b/>
          <w:i/>
          <w:lang w:val="en-GB"/>
        </w:rPr>
      </w:pPr>
    </w:p>
    <w:p w:rsidR="00FB1D0C" w:rsidRPr="00A472D7" w:rsidRDefault="00FB1D0C" w:rsidP="00FB1D0C">
      <w:pPr>
        <w:ind w:left="-47"/>
        <w:rPr>
          <w:b/>
          <w:i/>
          <w:lang w:val="en-GB"/>
        </w:rPr>
      </w:pPr>
      <w:r w:rsidRPr="00A472D7">
        <w:rPr>
          <w:b/>
          <w:i/>
          <w:lang w:val="en-GB"/>
        </w:rPr>
        <w:t xml:space="preserve">Securing fresh water supply/desalinisation </w:t>
      </w:r>
    </w:p>
    <w:p w:rsidR="00FB1D0C" w:rsidRPr="00931CB8" w:rsidRDefault="00FB1D0C" w:rsidP="00FB1D0C">
      <w:pPr>
        <w:rPr>
          <w:lang w:val="en-GB"/>
        </w:rPr>
      </w:pPr>
      <w:r>
        <w:rPr>
          <w:lang w:val="en-GB"/>
        </w:rPr>
        <w:t>In France, three projects for the desalination of marine water are currently being developed, but are not yet functioning: t</w:t>
      </w:r>
      <w:r w:rsidRPr="00280A51">
        <w:rPr>
          <w:lang w:val="en-GB"/>
        </w:rPr>
        <w:t xml:space="preserve">hey are located in Belle-Ile-en-Mer (Morbihan), Ile d'Yeu (Vendée) and around Les Sables d'Olonne (Vendée). </w:t>
      </w:r>
      <w:r w:rsidRPr="00931CB8">
        <w:rPr>
          <w:lang w:val="en-GB"/>
        </w:rPr>
        <w:t xml:space="preserve">However, </w:t>
      </w:r>
      <w:r>
        <w:rPr>
          <w:lang w:val="en-GB"/>
        </w:rPr>
        <w:t>they are progressing slowly</w:t>
      </w:r>
      <w:r>
        <w:rPr>
          <w:rStyle w:val="FootnoteReference"/>
          <w:lang w:val="en-GB"/>
        </w:rPr>
        <w:footnoteReference w:id="78"/>
      </w:r>
      <w:r>
        <w:rPr>
          <w:lang w:val="en-GB"/>
        </w:rPr>
        <w:t>.</w:t>
      </w:r>
    </w:p>
    <w:p w:rsidR="00FB1D0C" w:rsidRPr="00931CB8" w:rsidRDefault="00FB1D0C" w:rsidP="00FB1D0C">
      <w:pPr>
        <w:rPr>
          <w:lang w:val="en-GB"/>
        </w:rPr>
      </w:pPr>
      <w:r>
        <w:rPr>
          <w:lang w:val="en-GB"/>
        </w:rPr>
        <w:t xml:space="preserve">With a total </w:t>
      </w:r>
      <w:r w:rsidRPr="00931CB8">
        <w:rPr>
          <w:lang w:val="en-GB"/>
        </w:rPr>
        <w:t>estimated amount of € 9 million</w:t>
      </w:r>
      <w:r>
        <w:rPr>
          <w:lang w:val="en-GB"/>
        </w:rPr>
        <w:t xml:space="preserve"> Euros</w:t>
      </w:r>
      <w:r w:rsidRPr="00931CB8">
        <w:rPr>
          <w:lang w:val="en-GB"/>
        </w:rPr>
        <w:t xml:space="preserve">, the project of Ile d'Yeu is </w:t>
      </w:r>
      <w:r>
        <w:rPr>
          <w:lang w:val="en-GB"/>
        </w:rPr>
        <w:t xml:space="preserve">meant to </w:t>
      </w:r>
      <w:r w:rsidRPr="00931CB8">
        <w:rPr>
          <w:lang w:val="en-GB"/>
        </w:rPr>
        <w:t xml:space="preserve">securing the supply of drinking water </w:t>
      </w:r>
      <w:r>
        <w:rPr>
          <w:lang w:val="en-GB"/>
        </w:rPr>
        <w:t xml:space="preserve">to the island. </w:t>
      </w:r>
      <w:r w:rsidRPr="00931CB8">
        <w:rPr>
          <w:lang w:val="en-GB"/>
        </w:rPr>
        <w:t xml:space="preserve">However, </w:t>
      </w:r>
      <w:r>
        <w:rPr>
          <w:lang w:val="en-GB"/>
        </w:rPr>
        <w:t xml:space="preserve">the project seems on stand by, as the susbsidy </w:t>
      </w:r>
      <w:r w:rsidRPr="00931CB8">
        <w:rPr>
          <w:lang w:val="en-GB"/>
        </w:rPr>
        <w:t xml:space="preserve">reserved by the Pays de la Loire </w:t>
      </w:r>
      <w:r>
        <w:rPr>
          <w:lang w:val="en-GB"/>
        </w:rPr>
        <w:t>region (</w:t>
      </w:r>
      <w:r w:rsidRPr="00931CB8">
        <w:rPr>
          <w:lang w:val="en-GB"/>
        </w:rPr>
        <w:t>1.8 million euros</w:t>
      </w:r>
      <w:r>
        <w:rPr>
          <w:lang w:val="en-GB"/>
        </w:rPr>
        <w:t>) has not been granted</w:t>
      </w:r>
      <w:r w:rsidRPr="00931CB8">
        <w:rPr>
          <w:lang w:val="en-GB"/>
        </w:rPr>
        <w:t xml:space="preserve"> </w:t>
      </w:r>
      <w:r>
        <w:rPr>
          <w:lang w:val="en-GB"/>
        </w:rPr>
        <w:t>yet. In 2009, the Water department of Vendée stated that the project was not considered as an immediate priority.</w:t>
      </w:r>
    </w:p>
    <w:p w:rsidR="00A82B87" w:rsidRDefault="00FB1D0C" w:rsidP="00FB1D0C">
      <w:pPr>
        <w:rPr>
          <w:lang w:val="en-GB"/>
        </w:rPr>
      </w:pPr>
      <w:r w:rsidRPr="00931CB8">
        <w:rPr>
          <w:lang w:val="en-GB"/>
        </w:rPr>
        <w:t xml:space="preserve">The project Sables d'Olonne, carried </w:t>
      </w:r>
      <w:r>
        <w:rPr>
          <w:lang w:val="en-GB"/>
        </w:rPr>
        <w:t xml:space="preserve">out </w:t>
      </w:r>
      <w:r w:rsidRPr="00931CB8">
        <w:rPr>
          <w:lang w:val="en-GB"/>
        </w:rPr>
        <w:t xml:space="preserve">by the department </w:t>
      </w:r>
      <w:r>
        <w:rPr>
          <w:lang w:val="en-GB"/>
        </w:rPr>
        <w:t xml:space="preserve">of </w:t>
      </w:r>
      <w:r w:rsidRPr="00931CB8">
        <w:rPr>
          <w:lang w:val="en-GB"/>
        </w:rPr>
        <w:t xml:space="preserve">Vendée </w:t>
      </w:r>
      <w:r>
        <w:rPr>
          <w:lang w:val="en-GB"/>
        </w:rPr>
        <w:t xml:space="preserve">and the </w:t>
      </w:r>
      <w:r w:rsidRPr="00B86511">
        <w:rPr>
          <w:lang w:val="en-GB"/>
        </w:rPr>
        <w:t>Energy and Equipment department of the Vendee region (SyDEV)</w:t>
      </w:r>
      <w:r>
        <w:rPr>
          <w:lang w:val="en-GB"/>
        </w:rPr>
        <w:t xml:space="preserve"> is meant to fill a lack of </w:t>
      </w:r>
      <w:r w:rsidRPr="00931CB8">
        <w:rPr>
          <w:lang w:val="en-GB"/>
        </w:rPr>
        <w:t>4 million m3 of water</w:t>
      </w:r>
      <w:r>
        <w:rPr>
          <w:lang w:val="en-GB"/>
        </w:rPr>
        <w:t xml:space="preserve"> by</w:t>
      </w:r>
      <w:r w:rsidRPr="00931CB8">
        <w:rPr>
          <w:lang w:val="en-GB"/>
        </w:rPr>
        <w:t xml:space="preserve"> 2025. It could lead to the construction of a plant with a capacity of 10 to 20,000 m3 of fresh water per day by 2020. Nevertheless, the choice has not yet been finalized a</w:t>
      </w:r>
      <w:r>
        <w:rPr>
          <w:lang w:val="en-GB"/>
        </w:rPr>
        <w:t>nd the end of 2011, a technical</w:t>
      </w:r>
      <w:r w:rsidRPr="00931CB8">
        <w:rPr>
          <w:lang w:val="en-GB"/>
        </w:rPr>
        <w:t>, legal, financial, environmental and energy feasibility study has been funded for some</w:t>
      </w:r>
      <w:r>
        <w:rPr>
          <w:lang w:val="en-GB"/>
        </w:rPr>
        <w:t xml:space="preserve"> €</w:t>
      </w:r>
      <w:r w:rsidRPr="00931CB8">
        <w:rPr>
          <w:lang w:val="en-GB"/>
        </w:rPr>
        <w:t xml:space="preserve"> 105,000 by the Pays-de-la-Loire and the Agency water Loire-Bretagne. Among the outstanding issues, the energy supply is crucial: </w:t>
      </w:r>
      <w:r>
        <w:rPr>
          <w:lang w:val="en-GB"/>
        </w:rPr>
        <w:t>t</w:t>
      </w:r>
      <w:r w:rsidRPr="00931CB8">
        <w:rPr>
          <w:lang w:val="en-GB"/>
        </w:rPr>
        <w:t xml:space="preserve">he project envisages the use of renewable energy bringing the total bill to </w:t>
      </w:r>
      <w:r>
        <w:rPr>
          <w:lang w:val="en-GB"/>
        </w:rPr>
        <w:t xml:space="preserve">several dozens of </w:t>
      </w:r>
      <w:r w:rsidRPr="00931CB8">
        <w:rPr>
          <w:lang w:val="en-GB"/>
        </w:rPr>
        <w:t>millions of euros.</w:t>
      </w:r>
    </w:p>
    <w:p w:rsidR="00FB1D0C" w:rsidRDefault="00FB1D0C" w:rsidP="00864EAB">
      <w:pPr>
        <w:rPr>
          <w:b/>
          <w:color w:val="0070C0"/>
          <w:lang w:val="en-GB"/>
        </w:rPr>
      </w:pPr>
    </w:p>
    <w:p w:rsidR="00E45451" w:rsidRDefault="00E45451" w:rsidP="00864EAB">
      <w:pPr>
        <w:rPr>
          <w:b/>
          <w:color w:val="0070C0"/>
          <w:lang w:val="en-GB"/>
        </w:rPr>
      </w:pPr>
      <w:r w:rsidRPr="00CD2C69">
        <w:rPr>
          <w:b/>
          <w:color w:val="0070C0"/>
          <w:lang w:val="en-GB"/>
        </w:rPr>
        <w:t>Leisure and tourism</w:t>
      </w:r>
    </w:p>
    <w:p w:rsidR="00FB1D0C" w:rsidRPr="00A472D7" w:rsidRDefault="00FB1D0C" w:rsidP="00FB1D0C">
      <w:pPr>
        <w:ind w:left="-47"/>
        <w:rPr>
          <w:b/>
          <w:i/>
          <w:lang w:val="en-GB"/>
        </w:rPr>
      </w:pPr>
      <w:r w:rsidRPr="00A472D7">
        <w:rPr>
          <w:b/>
          <w:i/>
          <w:lang w:val="en-GB"/>
        </w:rPr>
        <w:t>Coastal tourism</w:t>
      </w:r>
    </w:p>
    <w:p w:rsidR="00F03536" w:rsidRDefault="00FB1D0C" w:rsidP="00FB1D0C">
      <w:pPr>
        <w:rPr>
          <w:lang w:val="en-GB"/>
        </w:rPr>
      </w:pPr>
      <w:r w:rsidRPr="00742D02">
        <w:rPr>
          <w:lang w:val="en-GB"/>
        </w:rPr>
        <w:t xml:space="preserve">France has </w:t>
      </w:r>
      <w:r w:rsidR="00700F0E">
        <w:rPr>
          <w:lang w:val="en-GB"/>
        </w:rPr>
        <w:t>a long</w:t>
      </w:r>
      <w:r w:rsidRPr="00742D02">
        <w:rPr>
          <w:lang w:val="en-GB"/>
        </w:rPr>
        <w:t xml:space="preserve"> coastline </w:t>
      </w:r>
      <w:r w:rsidR="00700F0E">
        <w:rPr>
          <w:lang w:val="en-GB"/>
        </w:rPr>
        <w:t xml:space="preserve">bordering </w:t>
      </w:r>
      <w:r w:rsidRPr="00742D02">
        <w:rPr>
          <w:lang w:val="en-GB"/>
        </w:rPr>
        <w:t xml:space="preserve">three sea basins (North Sea / English Channel, Atlantic, Mediterranean) spread over 883 coastal </w:t>
      </w:r>
      <w:r w:rsidR="00993BA3">
        <w:rPr>
          <w:lang w:val="en-GB"/>
        </w:rPr>
        <w:t>municipalities</w:t>
      </w:r>
      <w:r w:rsidRPr="00742D02">
        <w:rPr>
          <w:lang w:val="en-GB"/>
        </w:rPr>
        <w:t>, 26 departments and 11 regions.</w:t>
      </w:r>
      <w:r>
        <w:rPr>
          <w:lang w:val="en-GB"/>
        </w:rPr>
        <w:t xml:space="preserve"> </w:t>
      </w:r>
      <w:r w:rsidR="00F03536" w:rsidRPr="00F03536">
        <w:rPr>
          <w:lang w:val="en-GB"/>
        </w:rPr>
        <w:t>Figures on coastal tourism given in this section follow the geographic delineation - based on municipalities - used by the French Ministry of Tourism and Ifremer</w:t>
      </w:r>
      <w:r w:rsidR="000706EA">
        <w:rPr>
          <w:rStyle w:val="FootnoteReference"/>
          <w:lang w:val="en-GB"/>
        </w:rPr>
        <w:footnoteReference w:id="79"/>
      </w:r>
      <w:r w:rsidR="00F03536">
        <w:rPr>
          <w:lang w:val="en-GB"/>
        </w:rPr>
        <w:t xml:space="preserve">. </w:t>
      </w:r>
    </w:p>
    <w:p w:rsidR="00FB1D0C" w:rsidRPr="00742D02" w:rsidRDefault="00F03536" w:rsidP="00FB1D0C">
      <w:pPr>
        <w:rPr>
          <w:lang w:val="en-GB"/>
        </w:rPr>
      </w:pPr>
      <w:r>
        <w:rPr>
          <w:lang w:val="en-GB"/>
        </w:rPr>
        <w:t xml:space="preserve">Coastal municipalities </w:t>
      </w:r>
      <w:r w:rsidR="00FB1D0C" w:rsidRPr="00742D02">
        <w:rPr>
          <w:lang w:val="en-GB"/>
        </w:rPr>
        <w:t>are the first tourist destination in terms of overnight stays with 270 million nights for French people and 92 million overnight stays for foreigners (2005 data)</w:t>
      </w:r>
      <w:r w:rsidR="00FB1D0C">
        <w:rPr>
          <w:rStyle w:val="FootnoteReference"/>
          <w:lang w:val="en-GB"/>
        </w:rPr>
        <w:footnoteReference w:id="80"/>
      </w:r>
      <w:r w:rsidR="00FB1D0C" w:rsidRPr="00742D02">
        <w:rPr>
          <w:lang w:val="en-GB"/>
        </w:rPr>
        <w:t>.</w:t>
      </w:r>
    </w:p>
    <w:p w:rsidR="00FB1D0C" w:rsidRPr="00742D02" w:rsidRDefault="00FB1D0C" w:rsidP="00FB1D0C">
      <w:pPr>
        <w:rPr>
          <w:lang w:val="en-GB"/>
        </w:rPr>
      </w:pPr>
      <w:r w:rsidRPr="00742D02">
        <w:rPr>
          <w:lang w:val="en-GB"/>
        </w:rPr>
        <w:t>Compared with the various French tourist areas</w:t>
      </w:r>
      <w:r>
        <w:rPr>
          <w:rStyle w:val="FootnoteReference"/>
          <w:lang w:val="en-GB"/>
        </w:rPr>
        <w:footnoteReference w:id="81"/>
      </w:r>
      <w:r w:rsidRPr="00742D02">
        <w:rPr>
          <w:lang w:val="en-GB"/>
        </w:rPr>
        <w:t xml:space="preserve">, the coast remains the main destination for French tourists before the countryside, the mountains and the city. In 2007, coastal tourism accounted for 29% of the domestic tourism, equivalent to </w:t>
      </w:r>
      <w:r>
        <w:rPr>
          <w:lang w:val="en-GB"/>
        </w:rPr>
        <w:t xml:space="preserve">€ </w:t>
      </w:r>
      <w:r w:rsidRPr="00742D02">
        <w:rPr>
          <w:lang w:val="en-GB"/>
        </w:rPr>
        <w:t>34 billion and to 32% of all tourist nights spent by residents in 2009</w:t>
      </w:r>
      <w:r>
        <w:rPr>
          <w:rStyle w:val="FootnoteReference"/>
          <w:lang w:val="en-GB"/>
        </w:rPr>
        <w:footnoteReference w:id="82"/>
      </w:r>
      <w:r w:rsidRPr="00742D02">
        <w:rPr>
          <w:lang w:val="en-GB"/>
        </w:rPr>
        <w:t xml:space="preserve">. </w:t>
      </w:r>
      <w:r>
        <w:rPr>
          <w:lang w:val="en-GB"/>
        </w:rPr>
        <w:t>This</w:t>
      </w:r>
      <w:r w:rsidRPr="00742D02">
        <w:rPr>
          <w:lang w:val="en-GB"/>
        </w:rPr>
        <w:t xml:space="preserve"> has remained </w:t>
      </w:r>
      <w:r>
        <w:rPr>
          <w:lang w:val="en-GB"/>
        </w:rPr>
        <w:t>rather</w:t>
      </w:r>
      <w:r w:rsidRPr="00742D02">
        <w:rPr>
          <w:lang w:val="en-GB"/>
        </w:rPr>
        <w:t xml:space="preserve"> stable over the years.</w:t>
      </w:r>
    </w:p>
    <w:p w:rsidR="00FB1D0C" w:rsidRPr="00742D02" w:rsidRDefault="00FB1D0C" w:rsidP="00FB1D0C">
      <w:pPr>
        <w:rPr>
          <w:lang w:val="en-GB"/>
        </w:rPr>
      </w:pPr>
      <w:r w:rsidRPr="00742D02">
        <w:rPr>
          <w:lang w:val="en-GB"/>
        </w:rPr>
        <w:lastRenderedPageBreak/>
        <w:t>Coastal tourism is characterized by a strong seasonality, with a peak of activity for the months of July-August-September, with consequences on both overnight stays and jobs. The stays are longer than in other tourist areas (7.7 nights on average for residents)</w:t>
      </w:r>
      <w:r>
        <w:rPr>
          <w:rStyle w:val="FootnoteReference"/>
          <w:lang w:val="en-GB"/>
        </w:rPr>
        <w:footnoteReference w:id="83"/>
      </w:r>
      <w:r w:rsidRPr="00742D02">
        <w:rPr>
          <w:lang w:val="en-GB"/>
        </w:rPr>
        <w:t>.</w:t>
      </w:r>
    </w:p>
    <w:p w:rsidR="00FB1D0C" w:rsidRPr="00CD2C69" w:rsidRDefault="00877EDF" w:rsidP="00FB1D0C">
      <w:pPr>
        <w:rPr>
          <w:b/>
          <w:color w:val="0070C0"/>
          <w:lang w:val="en-GB"/>
        </w:rPr>
      </w:pPr>
      <w:r>
        <w:rPr>
          <w:lang w:val="en-GB"/>
        </w:rPr>
        <w:t>Based on</w:t>
      </w:r>
      <w:r w:rsidR="00EB5D23">
        <w:rPr>
          <w:lang w:val="en-GB"/>
        </w:rPr>
        <w:t xml:space="preserve"> Eurostat data, the tourism sector in coastal regions employed around </w:t>
      </w:r>
      <w:r w:rsidR="00FB0D75" w:rsidRPr="00FB0D75">
        <w:rPr>
          <w:lang w:val="en-GB"/>
        </w:rPr>
        <w:t>65,569</w:t>
      </w:r>
      <w:r w:rsidR="00FB0D75">
        <w:rPr>
          <w:lang w:val="en-GB"/>
        </w:rPr>
        <w:t xml:space="preserve"> </w:t>
      </w:r>
      <w:r w:rsidR="00EB5D23">
        <w:rPr>
          <w:lang w:val="en-GB"/>
        </w:rPr>
        <w:t>people in 2010</w:t>
      </w:r>
      <w:r>
        <w:rPr>
          <w:rStyle w:val="FootnoteReference"/>
          <w:lang w:val="en-GB"/>
        </w:rPr>
        <w:footnoteReference w:id="84"/>
      </w:r>
      <w:r>
        <w:rPr>
          <w:lang w:val="en-GB"/>
        </w:rPr>
        <w:t>.</w:t>
      </w:r>
      <w:r w:rsidR="00EB5D23">
        <w:rPr>
          <w:lang w:val="en-GB"/>
        </w:rPr>
        <w:t xml:space="preserve"> </w:t>
      </w:r>
      <w:r w:rsidR="00993BA3">
        <w:rPr>
          <w:lang w:val="en-GB"/>
        </w:rPr>
        <w:t>This data do only include accommodation-related activities</w:t>
      </w:r>
      <w:r w:rsidR="00993BA3">
        <w:rPr>
          <w:rStyle w:val="FootnoteReference"/>
          <w:lang w:val="en-GB"/>
        </w:rPr>
        <w:footnoteReference w:id="85"/>
      </w:r>
      <w:r w:rsidR="00993BA3">
        <w:rPr>
          <w:lang w:val="en-GB"/>
        </w:rPr>
        <w:t xml:space="preserve">. </w:t>
      </w:r>
      <w:r w:rsidR="00EB5D23">
        <w:rPr>
          <w:lang w:val="en-GB"/>
        </w:rPr>
        <w:t>2008 data from</w:t>
      </w:r>
      <w:r w:rsidR="00062947">
        <w:rPr>
          <w:lang w:val="en-GB"/>
        </w:rPr>
        <w:t xml:space="preserve"> the French institute</w:t>
      </w:r>
      <w:r w:rsidR="00EB5D23">
        <w:rPr>
          <w:lang w:val="en-GB"/>
        </w:rPr>
        <w:t xml:space="preserve"> Ifremer </w:t>
      </w:r>
      <w:r w:rsidR="00F25FA0">
        <w:rPr>
          <w:lang w:val="en-GB"/>
        </w:rPr>
        <w:t xml:space="preserve">point </w:t>
      </w:r>
      <w:r w:rsidR="00EB5D23">
        <w:rPr>
          <w:lang w:val="en-GB"/>
        </w:rPr>
        <w:t>to a total of 332.420 jobs</w:t>
      </w:r>
      <w:r w:rsidR="00F25FA0">
        <w:rPr>
          <w:lang w:val="en-GB"/>
        </w:rPr>
        <w:t xml:space="preserve"> in coastal tourism</w:t>
      </w:r>
      <w:r w:rsidR="00EB5D23">
        <w:rPr>
          <w:lang w:val="en-GB"/>
        </w:rPr>
        <w:t xml:space="preserve">, which include </w:t>
      </w:r>
      <w:r w:rsidR="00F25FA0">
        <w:rPr>
          <w:lang w:val="en-GB"/>
        </w:rPr>
        <w:t xml:space="preserve">both </w:t>
      </w:r>
      <w:r w:rsidR="00EB5D23">
        <w:rPr>
          <w:lang w:val="en-GB"/>
        </w:rPr>
        <w:t>r</w:t>
      </w:r>
      <w:r w:rsidR="00F25FA0">
        <w:rPr>
          <w:lang w:val="en-GB"/>
        </w:rPr>
        <w:t xml:space="preserve">estaurant </w:t>
      </w:r>
      <w:r w:rsidR="00EB5D23">
        <w:rPr>
          <w:lang w:val="en-GB"/>
        </w:rPr>
        <w:t xml:space="preserve">and </w:t>
      </w:r>
      <w:r w:rsidR="00F25FA0">
        <w:rPr>
          <w:lang w:val="en-GB"/>
        </w:rPr>
        <w:t>accommodation sectors</w:t>
      </w:r>
      <w:r w:rsidR="00F25FA0">
        <w:rPr>
          <w:rStyle w:val="FootnoteReference"/>
          <w:lang w:val="en-GB"/>
        </w:rPr>
        <w:footnoteReference w:id="86"/>
      </w:r>
      <w:r w:rsidR="00F25FA0">
        <w:rPr>
          <w:lang w:val="en-GB"/>
        </w:rPr>
        <w:t xml:space="preserve">. </w:t>
      </w:r>
      <w:r>
        <w:rPr>
          <w:lang w:val="en-GB"/>
        </w:rPr>
        <w:t>Some twothirds</w:t>
      </w:r>
      <w:r w:rsidR="00FB1D0C" w:rsidRPr="00742D02">
        <w:rPr>
          <w:lang w:val="en-GB"/>
        </w:rPr>
        <w:t xml:space="preserve"> of these jobs are in the restaurant and catering sector, followed by hotel and accommodation sector (21%)</w:t>
      </w:r>
      <w:r w:rsidR="00FB1D0C">
        <w:rPr>
          <w:rStyle w:val="FootnoteReference"/>
          <w:lang w:val="en-GB"/>
        </w:rPr>
        <w:footnoteReference w:id="87"/>
      </w:r>
      <w:r w:rsidR="00FB1D0C" w:rsidRPr="00742D02">
        <w:rPr>
          <w:lang w:val="en-GB"/>
        </w:rPr>
        <w:t>.</w:t>
      </w:r>
      <w:r w:rsidR="00811EBC">
        <w:rPr>
          <w:lang w:val="en-GB"/>
        </w:rPr>
        <w:t xml:space="preserve"> This 21% (corresponding to </w:t>
      </w:r>
      <w:r w:rsidR="000256B7">
        <w:rPr>
          <w:lang w:val="en-GB"/>
        </w:rPr>
        <w:t xml:space="preserve">around </w:t>
      </w:r>
      <w:r w:rsidR="00811EBC">
        <w:rPr>
          <w:lang w:val="en-GB"/>
        </w:rPr>
        <w:t>69,800 people employed in the accommodation-related sector in French coastal communities) is in line with the data provided by Eurostat, since it could be assumed that the difference between the two is to be found in lower employment opportunities in the accommodation-related sector between 2008 and 2010</w:t>
      </w:r>
      <w:r w:rsidR="000256B7">
        <w:rPr>
          <w:lang w:val="en-GB"/>
        </w:rPr>
        <w:t>, as well as in the inclusion or not of overseas territories</w:t>
      </w:r>
      <w:r w:rsidR="000256B7">
        <w:rPr>
          <w:rStyle w:val="FootnoteReference"/>
          <w:lang w:val="en-GB"/>
        </w:rPr>
        <w:footnoteReference w:id="88"/>
      </w:r>
      <w:r w:rsidR="00811EBC">
        <w:rPr>
          <w:lang w:val="en-GB"/>
        </w:rPr>
        <w:t xml:space="preserve">. </w:t>
      </w:r>
      <w:r w:rsidR="00FB1D0C" w:rsidRPr="00742D02">
        <w:rPr>
          <w:lang w:val="en-GB"/>
        </w:rPr>
        <w:t>The coastline municipalities guarantee 39% of the overall French accommodation offer (excluding overseas regions and territories)</w:t>
      </w:r>
      <w:r w:rsidR="00FB1D0C">
        <w:rPr>
          <w:rStyle w:val="FootnoteReference"/>
          <w:lang w:val="en-GB"/>
        </w:rPr>
        <w:footnoteReference w:id="89"/>
      </w:r>
      <w:r w:rsidR="00FB1D0C" w:rsidRPr="00742D02">
        <w:rPr>
          <w:lang w:val="en-GB"/>
        </w:rPr>
        <w:t>.</w:t>
      </w:r>
    </w:p>
    <w:p w:rsidR="00877EDF" w:rsidRDefault="00877EDF" w:rsidP="00FB1D0C">
      <w:pPr>
        <w:ind w:left="-47"/>
        <w:rPr>
          <w:b/>
          <w:i/>
          <w:lang w:val="en-GB"/>
        </w:rPr>
      </w:pPr>
    </w:p>
    <w:p w:rsidR="00FB1D0C" w:rsidRPr="00A472D7" w:rsidRDefault="00FB1D0C" w:rsidP="00FB1D0C">
      <w:pPr>
        <w:ind w:left="-47"/>
        <w:rPr>
          <w:b/>
          <w:i/>
          <w:lang w:val="en-GB"/>
        </w:rPr>
      </w:pPr>
      <w:r w:rsidRPr="00A472D7">
        <w:rPr>
          <w:b/>
          <w:i/>
          <w:lang w:val="en-GB"/>
        </w:rPr>
        <w:t>Marinas</w:t>
      </w:r>
      <w:r w:rsidR="00D2111A">
        <w:rPr>
          <w:rStyle w:val="FootnoteReference"/>
          <w:b/>
          <w:i/>
          <w:lang w:val="en-GB"/>
        </w:rPr>
        <w:footnoteReference w:id="90"/>
      </w:r>
    </w:p>
    <w:p w:rsidR="00FB1D0C" w:rsidRDefault="00FB1D0C" w:rsidP="00FB1D0C">
      <w:pPr>
        <w:ind w:left="-47"/>
        <w:rPr>
          <w:lang w:val="en-GB"/>
        </w:rPr>
      </w:pPr>
      <w:r>
        <w:rPr>
          <w:lang w:val="en-GB"/>
        </w:rPr>
        <w:t xml:space="preserve">Marinas are well developed in France, notably in the Mediterranean coastline. The activity comprises all activities related to marinas, including rental of yachts, equipment supplies, maintenance and yachting related services. </w:t>
      </w:r>
    </w:p>
    <w:p w:rsidR="00A82B87" w:rsidRDefault="00FB1D0C" w:rsidP="00FB1D0C">
      <w:pPr>
        <w:rPr>
          <w:lang w:val="en-GB"/>
        </w:rPr>
      </w:pPr>
      <w:r>
        <w:rPr>
          <w:lang w:val="en-GB"/>
        </w:rPr>
        <w:t>According to the French government some 200 marinas can be found</w:t>
      </w:r>
      <w:r>
        <w:rPr>
          <w:rStyle w:val="FootnoteReference"/>
          <w:lang w:val="en-GB"/>
        </w:rPr>
        <w:footnoteReference w:id="91"/>
      </w:r>
      <w:r>
        <w:rPr>
          <w:lang w:val="en-GB"/>
        </w:rPr>
        <w:t xml:space="preserve"> (excluding the outermost regions) offering a total of some 120,000 berthing spaces. The Mediterranean sea basin has the largest share of marinas (55%) followed by the Atlantic coast (44%) and Nord-Pas de Calais on the North Sea/Channel coast (1%)</w:t>
      </w:r>
      <w:r>
        <w:rPr>
          <w:rStyle w:val="FootnoteReference"/>
          <w:lang w:val="en-GB"/>
        </w:rPr>
        <w:footnoteReference w:id="92"/>
      </w:r>
      <w:r>
        <w:rPr>
          <w:lang w:val="en-GB"/>
        </w:rPr>
        <w:t>. According to the same source these marinas offer directly some 1,380 permanent jobs and 570 seasonal jobs. ICOMIA</w:t>
      </w:r>
      <w:r>
        <w:rPr>
          <w:rStyle w:val="FootnoteReference"/>
          <w:lang w:val="en-GB"/>
        </w:rPr>
        <w:footnoteReference w:id="93"/>
      </w:r>
      <w:r>
        <w:rPr>
          <w:lang w:val="en-GB"/>
        </w:rPr>
        <w:t xml:space="preserve"> report higher figures of some 3000 people working in marin</w:t>
      </w:r>
      <w:r w:rsidR="00D2111A">
        <w:rPr>
          <w:lang w:val="en-GB"/>
        </w:rPr>
        <w:t>a</w:t>
      </w:r>
      <w:r>
        <w:rPr>
          <w:lang w:val="en-GB"/>
        </w:rPr>
        <w:t>s. According to this same source major other activities can be found in trade &amp; maintenance (13,800 jobs)</w:t>
      </w:r>
      <w:r w:rsidR="00A231CA">
        <w:rPr>
          <w:lang w:val="en-GB"/>
        </w:rPr>
        <w:t>,</w:t>
      </w:r>
      <w:r>
        <w:rPr>
          <w:lang w:val="en-GB"/>
        </w:rPr>
        <w:t>equipment supply (3,200) and yachting related services (5000 jobs).</w:t>
      </w:r>
    </w:p>
    <w:p w:rsidR="00877EDF" w:rsidRDefault="00877EDF" w:rsidP="00FB1D0C">
      <w:pPr>
        <w:ind w:left="-47"/>
        <w:rPr>
          <w:b/>
          <w:i/>
          <w:lang w:val="en-GB"/>
        </w:rPr>
      </w:pPr>
    </w:p>
    <w:p w:rsidR="00FB1D0C" w:rsidRPr="00A472D7" w:rsidRDefault="00FB1D0C" w:rsidP="00FB1D0C">
      <w:pPr>
        <w:ind w:left="-47"/>
        <w:rPr>
          <w:b/>
          <w:i/>
          <w:lang w:val="en-GB"/>
        </w:rPr>
      </w:pPr>
      <w:r w:rsidRPr="00A472D7">
        <w:rPr>
          <w:b/>
          <w:i/>
          <w:lang w:val="en-GB"/>
        </w:rPr>
        <w:t>Cruise tourism</w:t>
      </w:r>
    </w:p>
    <w:p w:rsidR="00FB1D0C" w:rsidRDefault="00FB1D0C" w:rsidP="00FB1D0C">
      <w:pPr>
        <w:ind w:left="-47"/>
        <w:rPr>
          <w:lang w:val="en-GB"/>
        </w:rPr>
      </w:pPr>
      <w:r>
        <w:rPr>
          <w:lang w:val="en-GB"/>
        </w:rPr>
        <w:t>Despite a difficult economic situation, the French cruise tourism market is performing well. In 2011 478</w:t>
      </w:r>
      <w:r w:rsidRPr="00630624">
        <w:rPr>
          <w:lang w:val="en-GB"/>
        </w:rPr>
        <w:t xml:space="preserve">,000 </w:t>
      </w:r>
      <w:r w:rsidR="00855723">
        <w:rPr>
          <w:lang w:val="en-GB"/>
        </w:rPr>
        <w:t xml:space="preserve">cruise passengers </w:t>
      </w:r>
      <w:r>
        <w:rPr>
          <w:lang w:val="en-GB"/>
        </w:rPr>
        <w:t>started or ended their cruise journey in France, making putting it at the 6</w:t>
      </w:r>
      <w:r w:rsidRPr="00C743BB">
        <w:rPr>
          <w:vertAlign w:val="superscript"/>
          <w:lang w:val="en-GB"/>
        </w:rPr>
        <w:t>th</w:t>
      </w:r>
      <w:r>
        <w:rPr>
          <w:lang w:val="en-GB"/>
        </w:rPr>
        <w:t xml:space="preserve"> place in Europe after Italy, Spain, UK, and Germany (Eurostat). This reflects the demand for cruise tourism coming from France where France holds a 5</w:t>
      </w:r>
      <w:r w:rsidRPr="00C743BB">
        <w:rPr>
          <w:vertAlign w:val="superscript"/>
          <w:lang w:val="en-GB"/>
        </w:rPr>
        <w:t>th</w:t>
      </w:r>
      <w:r>
        <w:rPr>
          <w:lang w:val="en-GB"/>
        </w:rPr>
        <w:t xml:space="preserve"> place in Europe (European Cruise Council 2012). The number of passengers that are visiting French ports is larger as not all of them end or begin their journey in France. The major French ports-of-call had a passenger throughput in 2011 of some 1.7 million passengers in 2011, with the Mediterranean ports (Marseille and ports along the Côte d’Azur) clearly taking a dominant position representing some 85% of the cruise market</w:t>
      </w:r>
      <w:r>
        <w:rPr>
          <w:rStyle w:val="FootnoteReference"/>
          <w:lang w:val="en-GB"/>
        </w:rPr>
        <w:footnoteReference w:id="94"/>
      </w:r>
      <w:r>
        <w:rPr>
          <w:lang w:val="en-GB"/>
        </w:rPr>
        <w:t>. On the Atlantic coast Le Havre is the most important destination, creating an entry point to the city of Paris.</w:t>
      </w:r>
      <w:r w:rsidRPr="00630624">
        <w:rPr>
          <w:lang w:val="en-GB"/>
        </w:rPr>
        <w:t xml:space="preserve"> </w:t>
      </w:r>
    </w:p>
    <w:p w:rsidR="00FB1D0C" w:rsidRDefault="00FB1D0C" w:rsidP="00FB1D0C">
      <w:pPr>
        <w:rPr>
          <w:lang w:val="en-GB"/>
        </w:rPr>
      </w:pPr>
      <w:r>
        <w:rPr>
          <w:lang w:val="en-GB"/>
        </w:rPr>
        <w:lastRenderedPageBreak/>
        <w:t xml:space="preserve">On the 20 cruise companies which are present on the European market, </w:t>
      </w:r>
      <w:r w:rsidRPr="00630624">
        <w:rPr>
          <w:lang w:val="en-GB"/>
        </w:rPr>
        <w:t>five of them welcome</w:t>
      </w:r>
      <w:r>
        <w:rPr>
          <w:lang w:val="en-GB"/>
        </w:rPr>
        <w:t xml:space="preserve"> 80% of the total passengers: </w:t>
      </w:r>
      <w:r w:rsidRPr="00630624">
        <w:rPr>
          <w:lang w:val="en-GB"/>
        </w:rPr>
        <w:t>Costa, MSC, Louis Cruises, Cru</w:t>
      </w:r>
      <w:r>
        <w:rPr>
          <w:lang w:val="en-GB"/>
        </w:rPr>
        <w:t xml:space="preserve">ises and Royal Caribbean France. The </w:t>
      </w:r>
      <w:r w:rsidRPr="00630624">
        <w:rPr>
          <w:lang w:val="en-GB"/>
        </w:rPr>
        <w:t>first two</w:t>
      </w:r>
      <w:r>
        <w:rPr>
          <w:lang w:val="en-GB"/>
        </w:rPr>
        <w:t xml:space="preserve">, </w:t>
      </w:r>
      <w:r w:rsidRPr="00630624">
        <w:rPr>
          <w:lang w:val="en-GB"/>
        </w:rPr>
        <w:t xml:space="preserve">Costa and MSC, </w:t>
      </w:r>
      <w:r>
        <w:rPr>
          <w:lang w:val="en-GB"/>
        </w:rPr>
        <w:t>own the two thirds of the cruise tourism market</w:t>
      </w:r>
      <w:r>
        <w:rPr>
          <w:rStyle w:val="FootnoteReference"/>
          <w:lang w:val="en-GB"/>
        </w:rPr>
        <w:footnoteReference w:id="95"/>
      </w:r>
      <w:r>
        <w:rPr>
          <w:lang w:val="en-GB"/>
        </w:rPr>
        <w:t xml:space="preserve">. </w:t>
      </w:r>
    </w:p>
    <w:p w:rsidR="00C06D08" w:rsidRDefault="00FB1D0C" w:rsidP="00FB1D0C">
      <w:pPr>
        <w:rPr>
          <w:lang w:val="en-GB"/>
        </w:rPr>
      </w:pPr>
      <w:r>
        <w:rPr>
          <w:lang w:val="en-GB"/>
        </w:rPr>
        <w:t>The main French companies involved in the cruise industry are: Bourbon Supply investments, Bretagne Angleterre irlande, Club Med Marine, Compagnie du Ponant, Compagnie Océane and Corsica Ferries France.</w:t>
      </w:r>
    </w:p>
    <w:p w:rsidR="007F22B2" w:rsidRDefault="007F22B2" w:rsidP="00864EAB">
      <w:pPr>
        <w:rPr>
          <w:lang w:val="en-GB"/>
        </w:rPr>
      </w:pPr>
    </w:p>
    <w:p w:rsidR="00C06D08" w:rsidRPr="00CD2C69" w:rsidRDefault="00071FE9" w:rsidP="00864EAB">
      <w:pPr>
        <w:rPr>
          <w:b/>
          <w:color w:val="0070C0"/>
          <w:lang w:val="en-GB"/>
        </w:rPr>
      </w:pPr>
      <w:r w:rsidRPr="00CD2C69">
        <w:rPr>
          <w:b/>
          <w:color w:val="0070C0"/>
          <w:lang w:val="en-GB"/>
        </w:rPr>
        <w:t xml:space="preserve">Coastal protection </w:t>
      </w:r>
    </w:p>
    <w:p w:rsidR="00FB1D0C" w:rsidRDefault="00FB1D0C" w:rsidP="00FB1D0C">
      <w:pPr>
        <w:ind w:left="-47"/>
        <w:rPr>
          <w:lang w:val="en-GB"/>
        </w:rPr>
      </w:pPr>
      <w:r>
        <w:rPr>
          <w:lang w:val="en-GB"/>
        </w:rPr>
        <w:t>Coastal protection includes p</w:t>
      </w:r>
      <w:r w:rsidRPr="00071FE9">
        <w:rPr>
          <w:lang w:val="en-GB"/>
        </w:rPr>
        <w:t>rotection against flooding and erosion, preventing salt water intrusion, protection of habitats</w:t>
      </w:r>
      <w:r>
        <w:rPr>
          <w:lang w:val="en-GB"/>
        </w:rPr>
        <w:t>. Some overlap is expected to exist with the economic activity 0.2 “construction of water projects”.</w:t>
      </w:r>
    </w:p>
    <w:p w:rsidR="00FB1D0C" w:rsidRDefault="00FB1D0C" w:rsidP="00FB1D0C">
      <w:pPr>
        <w:rPr>
          <w:b/>
          <w:color w:val="002060"/>
          <w:lang w:val="en-GB"/>
        </w:rPr>
      </w:pPr>
      <w:r>
        <w:rPr>
          <w:lang w:val="en-GB"/>
        </w:rPr>
        <w:t xml:space="preserve">The French Coastal Observatory is responsible for coastal protection on behalf of French cities, departments, regions and the French state. </w:t>
      </w:r>
      <w:r w:rsidRPr="00593248">
        <w:rPr>
          <w:lang w:val="en-GB"/>
        </w:rPr>
        <w:t xml:space="preserve">It acquires fragile or threatened land </w:t>
      </w:r>
      <w:r>
        <w:rPr>
          <w:lang w:val="en-GB"/>
        </w:rPr>
        <w:t xml:space="preserve">and, after protection and restoration works, it </w:t>
      </w:r>
      <w:r w:rsidRPr="00593248">
        <w:rPr>
          <w:lang w:val="en-GB"/>
        </w:rPr>
        <w:t xml:space="preserve">entrusts the </w:t>
      </w:r>
      <w:r>
        <w:rPr>
          <w:lang w:val="en-GB"/>
        </w:rPr>
        <w:t xml:space="preserve">land </w:t>
      </w:r>
      <w:r w:rsidRPr="00593248">
        <w:rPr>
          <w:lang w:val="en-GB"/>
        </w:rPr>
        <w:t>management to municipalities, local authorities, associations</w:t>
      </w:r>
      <w:r>
        <w:rPr>
          <w:lang w:val="en-GB"/>
        </w:rPr>
        <w:t xml:space="preserve"> or </w:t>
      </w:r>
      <w:r w:rsidRPr="00593248">
        <w:rPr>
          <w:lang w:val="en-GB"/>
        </w:rPr>
        <w:t>public institutions</w:t>
      </w:r>
      <w:r>
        <w:rPr>
          <w:lang w:val="en-GB"/>
        </w:rPr>
        <w:t xml:space="preserve">. By 2012, the Observatory provided the </w:t>
      </w:r>
      <w:r w:rsidR="00957398">
        <w:rPr>
          <w:lang w:val="en-GB"/>
        </w:rPr>
        <w:t xml:space="preserve">management and </w:t>
      </w:r>
      <w:r>
        <w:rPr>
          <w:lang w:val="en-GB"/>
        </w:rPr>
        <w:t xml:space="preserve">protection of </w:t>
      </w:r>
      <w:r w:rsidRPr="00593248">
        <w:rPr>
          <w:lang w:val="en-GB"/>
        </w:rPr>
        <w:t xml:space="preserve">152,000 hectares, representing </w:t>
      </w:r>
      <w:r>
        <w:rPr>
          <w:lang w:val="en-GB"/>
        </w:rPr>
        <w:t>more than 12% of French coastline</w:t>
      </w:r>
      <w:r>
        <w:rPr>
          <w:rStyle w:val="FootnoteReference"/>
          <w:lang w:val="en-GB"/>
        </w:rPr>
        <w:footnoteReference w:id="96"/>
      </w:r>
      <w:r>
        <w:rPr>
          <w:lang w:val="en-GB"/>
        </w:rPr>
        <w:t>. .</w:t>
      </w:r>
      <w:r w:rsidR="00CE761C">
        <w:rPr>
          <w:lang w:val="en-GB"/>
        </w:rPr>
        <w:t xml:space="preserve">According to </w:t>
      </w:r>
      <w:r w:rsidR="007368F6">
        <w:rPr>
          <w:lang w:val="en-GB"/>
        </w:rPr>
        <w:t>a recent study</w:t>
      </w:r>
      <w:r w:rsidR="00CE761C">
        <w:rPr>
          <w:lang w:val="en-GB"/>
        </w:rPr>
        <w:t>, in 2008 France spent 27.3 Million Euros in coastal protection and climate adaptation</w:t>
      </w:r>
      <w:r w:rsidR="00CE761C">
        <w:rPr>
          <w:rStyle w:val="FootnoteReference"/>
          <w:lang w:val="en-GB"/>
        </w:rPr>
        <w:footnoteReference w:id="97"/>
      </w:r>
      <w:r w:rsidR="00CE761C">
        <w:rPr>
          <w:lang w:val="en-GB"/>
        </w:rPr>
        <w:t xml:space="preserve">. </w:t>
      </w:r>
    </w:p>
    <w:p w:rsidR="00877EDF" w:rsidRDefault="00877EDF" w:rsidP="00864EAB">
      <w:pPr>
        <w:rPr>
          <w:b/>
          <w:color w:val="0070C0"/>
          <w:lang w:val="en-GB"/>
        </w:rPr>
      </w:pPr>
    </w:p>
    <w:p w:rsidR="00C06D08" w:rsidRPr="00CD2C69" w:rsidRDefault="00071FE9" w:rsidP="00864EAB">
      <w:pPr>
        <w:rPr>
          <w:b/>
          <w:color w:val="0070C0"/>
          <w:lang w:val="en-GB"/>
        </w:rPr>
      </w:pPr>
      <w:r w:rsidRPr="00CD2C69">
        <w:rPr>
          <w:b/>
          <w:color w:val="0070C0"/>
          <w:lang w:val="en-GB"/>
        </w:rPr>
        <w:t>Maritime monitoring and surveillance</w:t>
      </w:r>
    </w:p>
    <w:p w:rsidR="00FB1D0C" w:rsidRDefault="00FB1D0C" w:rsidP="00FB1D0C">
      <w:pPr>
        <w:ind w:left="-47"/>
        <w:rPr>
          <w:lang w:val="en-GB"/>
        </w:rPr>
      </w:pPr>
      <w:r>
        <w:rPr>
          <w:lang w:val="en-GB"/>
        </w:rPr>
        <w:t>Maritime monitoring and surveillance includes the t</w:t>
      </w:r>
      <w:r w:rsidRPr="00071FE9">
        <w:rPr>
          <w:lang w:val="en-GB"/>
        </w:rPr>
        <w:t xml:space="preserve">raceability and security of goods supply chains, prevention and protection against illegal movement of people and goods, </w:t>
      </w:r>
      <w:r>
        <w:rPr>
          <w:lang w:val="en-GB"/>
        </w:rPr>
        <w:t xml:space="preserve">and </w:t>
      </w:r>
      <w:r w:rsidRPr="00071FE9">
        <w:rPr>
          <w:lang w:val="en-GB"/>
        </w:rPr>
        <w:t>environmental monitoring</w:t>
      </w:r>
      <w:r>
        <w:rPr>
          <w:lang w:val="en-GB"/>
        </w:rPr>
        <w:t>.</w:t>
      </w:r>
    </w:p>
    <w:p w:rsidR="00FB1D0C" w:rsidRDefault="00FB1D0C" w:rsidP="00FB1D0C">
      <w:pPr>
        <w:rPr>
          <w:lang w:val="en-GB"/>
        </w:rPr>
      </w:pPr>
      <w:r>
        <w:rPr>
          <w:lang w:val="en-GB"/>
        </w:rPr>
        <w:t xml:space="preserve">As this sector is not directly registered hard data are hard to find. In France two main public bodies play a central role maritime surveillance: the maritime Gendarmerie and the French Customs service. The maritime gendarmerie carries out </w:t>
      </w:r>
      <w:r w:rsidRPr="00E80D7E">
        <w:rPr>
          <w:lang w:val="en-GB"/>
        </w:rPr>
        <w:t xml:space="preserve">general policing </w:t>
      </w:r>
      <w:r>
        <w:rPr>
          <w:lang w:val="en-GB"/>
        </w:rPr>
        <w:t xml:space="preserve">and criminal investigation </w:t>
      </w:r>
      <w:r w:rsidRPr="00E80D7E">
        <w:rPr>
          <w:lang w:val="en-GB"/>
        </w:rPr>
        <w:t>functions</w:t>
      </w:r>
      <w:r>
        <w:rPr>
          <w:lang w:val="en-GB"/>
        </w:rPr>
        <w:t xml:space="preserve">, including </w:t>
      </w:r>
      <w:r w:rsidRPr="00E80D7E">
        <w:rPr>
          <w:lang w:val="en-GB"/>
        </w:rPr>
        <w:t>protection</w:t>
      </w:r>
      <w:r>
        <w:rPr>
          <w:lang w:val="en-GB"/>
        </w:rPr>
        <w:t xml:space="preserve"> of the maritime environment</w:t>
      </w:r>
      <w:r w:rsidRPr="00E80D7E">
        <w:rPr>
          <w:lang w:val="en-GB"/>
        </w:rPr>
        <w:t xml:space="preserve">, </w:t>
      </w:r>
      <w:r>
        <w:rPr>
          <w:lang w:val="en-GB"/>
        </w:rPr>
        <w:t xml:space="preserve">coastal surveillance, </w:t>
      </w:r>
      <w:r w:rsidRPr="00E80D7E">
        <w:rPr>
          <w:lang w:val="en-GB"/>
        </w:rPr>
        <w:t xml:space="preserve">policing of fisheries and shipping, port security, </w:t>
      </w:r>
      <w:r>
        <w:rPr>
          <w:lang w:val="en-GB"/>
        </w:rPr>
        <w:t xml:space="preserve">search and rescue, and the fight against, illegal trafficking of goods and people). It employs 1100 people. Also the French Customs service plays an important role focusing on the </w:t>
      </w:r>
      <w:r w:rsidRPr="00E80D7E">
        <w:rPr>
          <w:lang w:val="en-GB"/>
        </w:rPr>
        <w:t>smuggling and illicit trafficking of goods and people</w:t>
      </w:r>
      <w:r>
        <w:rPr>
          <w:lang w:val="en-GB"/>
        </w:rPr>
        <w:t>. Among its total staff of 17.800 some 600 sea-going staff is reported</w:t>
      </w:r>
      <w:r>
        <w:rPr>
          <w:rStyle w:val="FootnoteReference"/>
          <w:lang w:val="en-GB"/>
        </w:rPr>
        <w:footnoteReference w:id="98"/>
      </w:r>
      <w:r>
        <w:rPr>
          <w:lang w:val="en-GB"/>
        </w:rPr>
        <w:t>.</w:t>
      </w:r>
      <w:r w:rsidR="00957398">
        <w:rPr>
          <w:lang w:val="en-GB"/>
        </w:rPr>
        <w:t xml:space="preserve"> As for the French Navy, its main mission is to protect the French </w:t>
      </w:r>
      <w:r w:rsidR="00957398" w:rsidRPr="00957398">
        <w:rPr>
          <w:lang w:val="en-GB"/>
        </w:rPr>
        <w:t>territory and national interests</w:t>
      </w:r>
      <w:r w:rsidR="00957398">
        <w:rPr>
          <w:lang w:val="en-GB"/>
        </w:rPr>
        <w:t xml:space="preserve">. In this context, it carries out missions of prevention of </w:t>
      </w:r>
      <w:r w:rsidR="00957398" w:rsidRPr="00957398">
        <w:rPr>
          <w:lang w:val="en-GB"/>
        </w:rPr>
        <w:t>military</w:t>
      </w:r>
      <w:r w:rsidR="00957398">
        <w:rPr>
          <w:lang w:val="en-GB"/>
        </w:rPr>
        <w:t xml:space="preserve">, environmental, economic and also ‘societal’ </w:t>
      </w:r>
      <w:r w:rsidR="00957398" w:rsidRPr="00957398">
        <w:rPr>
          <w:lang w:val="en-GB"/>
        </w:rPr>
        <w:t>(drug trafficking and weapons,</w:t>
      </w:r>
      <w:r w:rsidR="00957398">
        <w:rPr>
          <w:lang w:val="en-GB"/>
        </w:rPr>
        <w:t xml:space="preserve"> immigration, terrorism, etc..) </w:t>
      </w:r>
      <w:r w:rsidR="00957398" w:rsidRPr="00957398">
        <w:rPr>
          <w:lang w:val="en-GB"/>
        </w:rPr>
        <w:t>threats</w:t>
      </w:r>
      <w:r w:rsidR="00957398">
        <w:rPr>
          <w:rStyle w:val="FootnoteReference"/>
          <w:lang w:val="en-GB"/>
        </w:rPr>
        <w:footnoteReference w:id="99"/>
      </w:r>
      <w:r w:rsidR="00957398">
        <w:rPr>
          <w:lang w:val="en-GB"/>
        </w:rPr>
        <w:t>.</w:t>
      </w:r>
    </w:p>
    <w:p w:rsidR="00877EDF" w:rsidRDefault="00FB1D0C">
      <w:pPr>
        <w:rPr>
          <w:lang w:val="en-GB"/>
        </w:rPr>
      </w:pPr>
      <w:r>
        <w:rPr>
          <w:lang w:val="en-GB"/>
        </w:rPr>
        <w:t xml:space="preserve">Regarding environmental monitoring (other than monitoring pollution) marine research institutes play an important role. A number of major </w:t>
      </w:r>
      <w:r w:rsidR="003A06CE">
        <w:rPr>
          <w:lang w:val="en-GB"/>
        </w:rPr>
        <w:t xml:space="preserve">maritime research institutes </w:t>
      </w:r>
      <w:r>
        <w:rPr>
          <w:lang w:val="en-GB"/>
        </w:rPr>
        <w:t xml:space="preserve">can be found in France including for example </w:t>
      </w:r>
      <w:r w:rsidR="003A06CE">
        <w:rPr>
          <w:lang w:val="en-GB"/>
        </w:rPr>
        <w:t>Ifremer</w:t>
      </w:r>
      <w:r>
        <w:rPr>
          <w:lang w:val="en-GB"/>
        </w:rPr>
        <w:t xml:space="preserve">, </w:t>
      </w:r>
      <w:r w:rsidRPr="00C33B68">
        <w:rPr>
          <w:lang w:val="en-GB"/>
        </w:rPr>
        <w:t>Centre d'Oceanologie de Marseille</w:t>
      </w:r>
      <w:r>
        <w:rPr>
          <w:lang w:val="en-GB"/>
        </w:rPr>
        <w:t xml:space="preserve">, </w:t>
      </w:r>
      <w:r w:rsidRPr="00C33B68">
        <w:rPr>
          <w:lang w:val="en-GB"/>
        </w:rPr>
        <w:t>IUEM</w:t>
      </w:r>
      <w:r>
        <w:rPr>
          <w:lang w:val="en-GB"/>
        </w:rPr>
        <w:t xml:space="preserve"> (</w:t>
      </w:r>
      <w:r w:rsidRPr="00C33B68">
        <w:rPr>
          <w:lang w:val="en-GB"/>
        </w:rPr>
        <w:t>Brest</w:t>
      </w:r>
      <w:r>
        <w:rPr>
          <w:lang w:val="en-GB"/>
        </w:rPr>
        <w:t xml:space="preserve">), </w:t>
      </w:r>
      <w:r w:rsidRPr="00C33B68">
        <w:rPr>
          <w:lang w:val="en-GB"/>
        </w:rPr>
        <w:t>Laboratoire d'Océanographie de Villefranche-sur-Mer</w:t>
      </w:r>
      <w:r>
        <w:rPr>
          <w:lang w:val="en-GB"/>
        </w:rPr>
        <w:t>, SHOM, and various marine research stations</w:t>
      </w:r>
      <w:r>
        <w:rPr>
          <w:rStyle w:val="FootnoteReference"/>
          <w:lang w:val="en-GB"/>
        </w:rPr>
        <w:footnoteReference w:id="100"/>
      </w:r>
      <w:r>
        <w:rPr>
          <w:lang w:val="en-GB"/>
        </w:rPr>
        <w:t xml:space="preserve">. </w:t>
      </w:r>
      <w:r w:rsidR="00596049">
        <w:rPr>
          <w:lang w:val="en-GB"/>
        </w:rPr>
        <w:t>In its 2010 study on marine data infrastructure, MRAG reports that France annually spends 145.9 Million Euros on collecting, processing and distributing marine data</w:t>
      </w:r>
      <w:r w:rsidR="00596049">
        <w:rPr>
          <w:rStyle w:val="FootnoteReference"/>
          <w:lang w:val="en-GB"/>
        </w:rPr>
        <w:footnoteReference w:id="101"/>
      </w:r>
      <w:r w:rsidR="00596049">
        <w:rPr>
          <w:lang w:val="en-GB"/>
        </w:rPr>
        <w:t>.</w:t>
      </w:r>
    </w:p>
    <w:p w:rsidR="00746FD8" w:rsidRDefault="00596049">
      <w:pPr>
        <w:rPr>
          <w:lang w:val="en-GB"/>
        </w:rPr>
        <w:sectPr w:rsidR="00746FD8" w:rsidSect="000138C7">
          <w:pgSz w:w="11906" w:h="16838"/>
          <w:pgMar w:top="1387" w:right="1134" w:bottom="1134" w:left="1134" w:header="284" w:footer="93" w:gutter="0"/>
          <w:cols w:space="708"/>
          <w:docGrid w:linePitch="360"/>
        </w:sectPr>
      </w:pPr>
      <w:r>
        <w:rPr>
          <w:lang w:val="en-GB"/>
        </w:rPr>
        <w:t xml:space="preserve"> </w:t>
      </w:r>
    </w:p>
    <w:p w:rsidR="00803775" w:rsidRPr="0038738C" w:rsidRDefault="00EC399F" w:rsidP="00FF2F7C">
      <w:pPr>
        <w:pStyle w:val="Heading2"/>
        <w:numPr>
          <w:ilvl w:val="1"/>
          <w:numId w:val="8"/>
        </w:numPr>
      </w:pPr>
      <w:bookmarkStart w:id="14" w:name="_Toc369887006"/>
      <w:bookmarkStart w:id="15" w:name="_Toc353273279"/>
      <w:bookmarkStart w:id="16" w:name="_Toc354739371"/>
      <w:bookmarkStart w:id="17" w:name="_Toc354742395"/>
      <w:bookmarkStart w:id="18" w:name="_Toc354742603"/>
      <w:r>
        <w:lastRenderedPageBreak/>
        <w:t xml:space="preserve">Breakdown of maritime </w:t>
      </w:r>
      <w:r w:rsidR="00CA1B53">
        <w:t xml:space="preserve">economic activities at regional level (NUTS 1 or NUTS 2) and allocation </w:t>
      </w:r>
      <w:r w:rsidR="00803775">
        <w:t>to different sea-basins</w:t>
      </w:r>
      <w:bookmarkEnd w:id="14"/>
      <w:r w:rsidR="00803775" w:rsidRPr="0038738C">
        <w:t xml:space="preserve"> </w:t>
      </w:r>
    </w:p>
    <w:bookmarkEnd w:id="15"/>
    <w:bookmarkEnd w:id="16"/>
    <w:bookmarkEnd w:id="17"/>
    <w:bookmarkEnd w:id="18"/>
    <w:p w:rsidR="00A50CE0" w:rsidRPr="00A50CE0" w:rsidRDefault="007127CC" w:rsidP="00A50CE0">
      <w:pPr>
        <w:rPr>
          <w:lang w:val="en-GB"/>
        </w:rPr>
      </w:pPr>
      <w:r>
        <w:rPr>
          <w:lang w:val="en-GB"/>
        </w:rPr>
        <w:t xml:space="preserve">This </w:t>
      </w:r>
      <w:r w:rsidR="00A50CE0">
        <w:rPr>
          <w:lang w:val="en-GB"/>
        </w:rPr>
        <w:t>section</w:t>
      </w:r>
      <w:r>
        <w:rPr>
          <w:lang w:val="en-GB"/>
        </w:rPr>
        <w:t xml:space="preserve"> </w:t>
      </w:r>
      <w:r w:rsidR="00A50CE0">
        <w:rPr>
          <w:lang w:val="en-GB"/>
        </w:rPr>
        <w:t xml:space="preserve">allocates the data from table 1 to </w:t>
      </w:r>
      <w:r w:rsidRPr="00CD2C69">
        <w:rPr>
          <w:b/>
          <w:lang w:val="en-GB"/>
        </w:rPr>
        <w:t>maritime regions in the country</w:t>
      </w:r>
      <w:r>
        <w:rPr>
          <w:lang w:val="en-GB"/>
        </w:rPr>
        <w:t xml:space="preserve">. </w:t>
      </w:r>
      <w:r w:rsidR="00A50CE0" w:rsidRPr="00A50CE0">
        <w:rPr>
          <w:lang w:val="en-GB"/>
        </w:rPr>
        <w:t xml:space="preserve">The results of this analysis are twofold: </w:t>
      </w:r>
    </w:p>
    <w:p w:rsidR="00A50CE0" w:rsidRPr="00A50CE0" w:rsidRDefault="00A50CE0" w:rsidP="00FF2F7C">
      <w:pPr>
        <w:pStyle w:val="ListParagraph"/>
        <w:numPr>
          <w:ilvl w:val="0"/>
          <w:numId w:val="11"/>
        </w:numPr>
        <w:ind w:left="426"/>
        <w:rPr>
          <w:lang w:val="en-GB"/>
        </w:rPr>
      </w:pPr>
      <w:r w:rsidRPr="00A50CE0">
        <w:rPr>
          <w:lang w:val="en-GB"/>
        </w:rPr>
        <w:t>to provide a breakdown of maritime economic activities at regional level and to assess maritime regions and</w:t>
      </w:r>
    </w:p>
    <w:p w:rsidR="00A50CE0" w:rsidRPr="00A50CE0" w:rsidRDefault="00935D14" w:rsidP="00FF2F7C">
      <w:pPr>
        <w:pStyle w:val="ListParagraph"/>
        <w:numPr>
          <w:ilvl w:val="0"/>
          <w:numId w:val="11"/>
        </w:numPr>
        <w:ind w:left="426"/>
        <w:rPr>
          <w:lang w:val="en-GB"/>
        </w:rPr>
      </w:pPr>
      <w:r w:rsidRPr="00A50CE0">
        <w:rPr>
          <w:lang w:val="en-GB"/>
        </w:rPr>
        <w:t>To</w:t>
      </w:r>
      <w:r w:rsidR="00A50CE0" w:rsidRPr="00A50CE0">
        <w:rPr>
          <w:lang w:val="en-GB"/>
        </w:rPr>
        <w:t xml:space="preserve"> feed into the overall allocation of the maritime economic activities to different sea-basins via the regional breakdown.</w:t>
      </w:r>
    </w:p>
    <w:p w:rsidR="007127CC" w:rsidRDefault="007127CC" w:rsidP="007127CC">
      <w:pPr>
        <w:rPr>
          <w:lang w:val="en-GB"/>
        </w:rPr>
      </w:pPr>
      <w:r w:rsidRPr="000C0C93">
        <w:rPr>
          <w:lang w:val="en-GB"/>
        </w:rPr>
        <w:t xml:space="preserve">The breakdown of </w:t>
      </w:r>
      <w:r>
        <w:rPr>
          <w:lang w:val="en-GB"/>
        </w:rPr>
        <w:t>economic activities</w:t>
      </w:r>
      <w:r w:rsidRPr="000C0C93">
        <w:rPr>
          <w:lang w:val="en-GB"/>
        </w:rPr>
        <w:t xml:space="preserve"> </w:t>
      </w:r>
      <w:r>
        <w:rPr>
          <w:lang w:val="en-GB"/>
        </w:rPr>
        <w:t>is done</w:t>
      </w:r>
      <w:r w:rsidRPr="000C0C93">
        <w:rPr>
          <w:lang w:val="en-GB"/>
        </w:rPr>
        <w:t xml:space="preserve"> at NUTS </w:t>
      </w:r>
      <w:r>
        <w:rPr>
          <w:lang w:val="en-GB"/>
        </w:rPr>
        <w:t xml:space="preserve">1 or NUTS </w:t>
      </w:r>
      <w:r w:rsidRPr="000C0C93">
        <w:rPr>
          <w:lang w:val="en-GB"/>
        </w:rPr>
        <w:t>2 level</w:t>
      </w:r>
      <w:r>
        <w:rPr>
          <w:lang w:val="en-GB"/>
        </w:rPr>
        <w:t xml:space="preserve">, depending on the availability of data. Besides, the level of regional analysis is determined by where maritime policy strategies and funding programmes are decided (please see suggested level highlighted in bold). </w:t>
      </w:r>
    </w:p>
    <w:p w:rsidR="008C1C7F" w:rsidRDefault="008C1C7F" w:rsidP="007127CC">
      <w:pPr>
        <w:rPr>
          <w:lang w:val="en-GB"/>
        </w:rPr>
      </w:pPr>
    </w:p>
    <w:p w:rsidR="007127CC" w:rsidRDefault="007127CC" w:rsidP="007127CC">
      <w:pPr>
        <w:pStyle w:val="Caption"/>
      </w:pPr>
      <w:r>
        <w:t xml:space="preserve">Table </w:t>
      </w:r>
      <w:r w:rsidR="00E8042A">
        <w:t>2</w:t>
      </w:r>
      <w:r>
        <w:t xml:space="preserve"> - Breakdown of maritime economic activities at regional level</w:t>
      </w:r>
    </w:p>
    <w:tbl>
      <w:tblPr>
        <w:tblStyle w:val="TableGrid"/>
        <w:tblW w:w="0" w:type="auto"/>
        <w:tblLook w:val="04A0" w:firstRow="1" w:lastRow="0" w:firstColumn="1" w:lastColumn="0" w:noHBand="0" w:noVBand="1"/>
      </w:tblPr>
      <w:tblGrid>
        <w:gridCol w:w="1242"/>
        <w:gridCol w:w="2268"/>
        <w:gridCol w:w="3686"/>
        <w:gridCol w:w="2658"/>
      </w:tblGrid>
      <w:tr w:rsidR="007127CC" w:rsidRPr="00EC0540" w:rsidTr="00A50CE0">
        <w:trPr>
          <w:tblHeader/>
        </w:trPr>
        <w:tc>
          <w:tcPr>
            <w:tcW w:w="1242" w:type="dxa"/>
            <w:shd w:val="clear" w:color="auto" w:fill="C6D9F1" w:themeFill="text2" w:themeFillTint="33"/>
            <w:vAlign w:val="center"/>
          </w:tcPr>
          <w:p w:rsidR="007127CC" w:rsidRPr="00225EE7" w:rsidRDefault="007127CC" w:rsidP="00A50CE0">
            <w:pPr>
              <w:jc w:val="center"/>
              <w:rPr>
                <w:b/>
                <w:sz w:val="20"/>
                <w:szCs w:val="20"/>
                <w:lang w:val="en-GB"/>
              </w:rPr>
            </w:pPr>
            <w:r w:rsidRPr="00225EE7">
              <w:rPr>
                <w:b/>
                <w:sz w:val="20"/>
                <w:szCs w:val="20"/>
                <w:lang w:val="en-GB"/>
              </w:rPr>
              <w:t>EU Member State</w:t>
            </w:r>
          </w:p>
        </w:tc>
        <w:tc>
          <w:tcPr>
            <w:tcW w:w="2268" w:type="dxa"/>
            <w:shd w:val="clear" w:color="auto" w:fill="C6D9F1" w:themeFill="text2" w:themeFillTint="33"/>
            <w:vAlign w:val="center"/>
          </w:tcPr>
          <w:p w:rsidR="007127CC" w:rsidRPr="00225EE7" w:rsidRDefault="007127CC" w:rsidP="00A50CE0">
            <w:pPr>
              <w:jc w:val="center"/>
              <w:rPr>
                <w:b/>
                <w:sz w:val="20"/>
                <w:szCs w:val="20"/>
                <w:lang w:val="en-GB"/>
              </w:rPr>
            </w:pPr>
            <w:r w:rsidRPr="00225EE7">
              <w:rPr>
                <w:b/>
                <w:sz w:val="20"/>
                <w:szCs w:val="20"/>
                <w:lang w:val="en-GB"/>
              </w:rPr>
              <w:t>NUTS 1</w:t>
            </w:r>
          </w:p>
        </w:tc>
        <w:tc>
          <w:tcPr>
            <w:tcW w:w="3686" w:type="dxa"/>
            <w:shd w:val="clear" w:color="auto" w:fill="C6D9F1" w:themeFill="text2" w:themeFillTint="33"/>
            <w:vAlign w:val="center"/>
          </w:tcPr>
          <w:p w:rsidR="007127CC" w:rsidRPr="00225EE7" w:rsidRDefault="007127CC" w:rsidP="00A50CE0">
            <w:pPr>
              <w:jc w:val="center"/>
              <w:rPr>
                <w:b/>
                <w:sz w:val="20"/>
                <w:szCs w:val="20"/>
                <w:lang w:val="en-GB"/>
              </w:rPr>
            </w:pPr>
            <w:r w:rsidRPr="00225EE7">
              <w:rPr>
                <w:b/>
                <w:sz w:val="20"/>
                <w:szCs w:val="20"/>
                <w:lang w:val="en-GB"/>
              </w:rPr>
              <w:t>NUTS 2</w:t>
            </w:r>
          </w:p>
        </w:tc>
        <w:tc>
          <w:tcPr>
            <w:tcW w:w="2658" w:type="dxa"/>
            <w:shd w:val="clear" w:color="auto" w:fill="C6D9F1" w:themeFill="text2" w:themeFillTint="33"/>
            <w:vAlign w:val="center"/>
          </w:tcPr>
          <w:p w:rsidR="007127CC" w:rsidRPr="00225EE7" w:rsidRDefault="007127CC" w:rsidP="00A50CE0">
            <w:pPr>
              <w:jc w:val="center"/>
              <w:rPr>
                <w:b/>
                <w:sz w:val="20"/>
                <w:szCs w:val="20"/>
                <w:lang w:val="en-GB"/>
              </w:rPr>
            </w:pPr>
            <w:r w:rsidRPr="00225EE7">
              <w:rPr>
                <w:b/>
                <w:sz w:val="20"/>
                <w:szCs w:val="20"/>
                <w:lang w:val="en-GB"/>
              </w:rPr>
              <w:t>Geographical allocation to Sea-basin (NUTS 2 regions)</w:t>
            </w:r>
          </w:p>
        </w:tc>
      </w:tr>
      <w:tr w:rsidR="007127CC" w:rsidRPr="00225EE7" w:rsidTr="00A50CE0">
        <w:tc>
          <w:tcPr>
            <w:tcW w:w="1242" w:type="dxa"/>
            <w:vMerge w:val="restart"/>
            <w:vAlign w:val="center"/>
          </w:tcPr>
          <w:p w:rsidR="007127CC" w:rsidRPr="00225EE7" w:rsidRDefault="007127CC" w:rsidP="00A50CE0">
            <w:pPr>
              <w:jc w:val="center"/>
              <w:rPr>
                <w:sz w:val="20"/>
                <w:szCs w:val="20"/>
                <w:lang w:val="en-GB"/>
              </w:rPr>
            </w:pPr>
            <w:r w:rsidRPr="00225EE7">
              <w:rPr>
                <w:sz w:val="20"/>
                <w:szCs w:val="20"/>
                <w:lang w:val="en-GB"/>
              </w:rPr>
              <w:t>France</w:t>
            </w:r>
            <w:r w:rsidRPr="00225EE7">
              <w:rPr>
                <w:rStyle w:val="FootnoteReference"/>
                <w:sz w:val="20"/>
                <w:szCs w:val="20"/>
                <w:lang w:val="en-GB"/>
              </w:rPr>
              <w:footnoteReference w:id="102"/>
            </w:r>
          </w:p>
          <w:p w:rsidR="007127CC" w:rsidRPr="00225EE7" w:rsidRDefault="007127CC" w:rsidP="00A50CE0">
            <w:pPr>
              <w:jc w:val="center"/>
              <w:rPr>
                <w:sz w:val="20"/>
                <w:szCs w:val="20"/>
                <w:lang w:val="en-GB"/>
              </w:rPr>
            </w:pPr>
          </w:p>
        </w:tc>
        <w:tc>
          <w:tcPr>
            <w:tcW w:w="2268" w:type="dxa"/>
            <w:vAlign w:val="center"/>
          </w:tcPr>
          <w:p w:rsidR="007127CC" w:rsidRPr="00225EE7" w:rsidRDefault="007127CC" w:rsidP="00A50CE0">
            <w:pPr>
              <w:jc w:val="center"/>
              <w:rPr>
                <w:sz w:val="20"/>
                <w:szCs w:val="20"/>
                <w:lang w:val="en-GB"/>
              </w:rPr>
            </w:pPr>
            <w:r w:rsidRPr="00225EE7">
              <w:rPr>
                <w:sz w:val="20"/>
                <w:szCs w:val="20"/>
                <w:lang w:val="en-GB"/>
              </w:rPr>
              <w:t>Nord - Pas-de-Calais</w:t>
            </w: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Nord - Pas-de-Calais</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North Sea</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Merge w:val="restart"/>
            <w:vAlign w:val="center"/>
          </w:tcPr>
          <w:p w:rsidR="007127CC" w:rsidRPr="00225EE7" w:rsidRDefault="007127CC" w:rsidP="00A50CE0">
            <w:pPr>
              <w:jc w:val="center"/>
              <w:rPr>
                <w:sz w:val="20"/>
                <w:szCs w:val="20"/>
                <w:lang w:val="en-GB"/>
              </w:rPr>
            </w:pPr>
            <w:r w:rsidRPr="00225EE7">
              <w:rPr>
                <w:sz w:val="20"/>
                <w:szCs w:val="20"/>
                <w:lang w:val="en-GB"/>
              </w:rPr>
              <w:t>Bassin Parisien</w:t>
            </w: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Haute Normandie</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Atlantic Arc</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Merge/>
            <w:vAlign w:val="center"/>
          </w:tcPr>
          <w:p w:rsidR="007127CC" w:rsidRPr="00225EE7" w:rsidRDefault="007127CC" w:rsidP="00A50CE0">
            <w:pPr>
              <w:jc w:val="center"/>
              <w:rPr>
                <w:sz w:val="20"/>
                <w:szCs w:val="20"/>
                <w:lang w:val="en-GB"/>
              </w:rPr>
            </w:pP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Basse Normandie</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Atlantic Arc</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Merge/>
            <w:vAlign w:val="center"/>
          </w:tcPr>
          <w:p w:rsidR="007127CC" w:rsidRPr="00225EE7" w:rsidRDefault="007127CC" w:rsidP="00A50CE0">
            <w:pPr>
              <w:jc w:val="center"/>
              <w:rPr>
                <w:sz w:val="20"/>
                <w:szCs w:val="20"/>
                <w:lang w:val="en-GB"/>
              </w:rPr>
            </w:pP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Picardie</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Atlantic Arc</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Merge w:val="restart"/>
            <w:vAlign w:val="center"/>
          </w:tcPr>
          <w:p w:rsidR="007127CC" w:rsidRPr="00225EE7" w:rsidRDefault="007127CC" w:rsidP="00A50CE0">
            <w:pPr>
              <w:jc w:val="center"/>
              <w:rPr>
                <w:sz w:val="20"/>
                <w:szCs w:val="20"/>
                <w:lang w:val="en-GB"/>
              </w:rPr>
            </w:pPr>
            <w:r w:rsidRPr="00225EE7">
              <w:rPr>
                <w:sz w:val="20"/>
                <w:szCs w:val="20"/>
                <w:lang w:val="en-GB"/>
              </w:rPr>
              <w:t>Ouest</w:t>
            </w: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Pays de la Loire</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Atlantic Arc</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Merge/>
            <w:vAlign w:val="center"/>
          </w:tcPr>
          <w:p w:rsidR="007127CC" w:rsidRPr="00225EE7" w:rsidRDefault="007127CC" w:rsidP="00A50CE0">
            <w:pPr>
              <w:jc w:val="center"/>
              <w:rPr>
                <w:sz w:val="20"/>
                <w:szCs w:val="20"/>
                <w:lang w:val="en-GB"/>
              </w:rPr>
            </w:pP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Bretagne</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Atlantic Arc</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Merge/>
            <w:vAlign w:val="center"/>
          </w:tcPr>
          <w:p w:rsidR="007127CC" w:rsidRPr="00225EE7" w:rsidRDefault="007127CC" w:rsidP="00A50CE0">
            <w:pPr>
              <w:jc w:val="center"/>
              <w:rPr>
                <w:sz w:val="20"/>
                <w:szCs w:val="20"/>
                <w:lang w:val="en-GB"/>
              </w:rPr>
            </w:pP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Poitou-Charentes</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Atlantic Arc</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Align w:val="center"/>
          </w:tcPr>
          <w:p w:rsidR="007127CC" w:rsidRPr="00225EE7" w:rsidRDefault="007127CC" w:rsidP="00A50CE0">
            <w:pPr>
              <w:jc w:val="center"/>
              <w:rPr>
                <w:sz w:val="20"/>
                <w:szCs w:val="20"/>
                <w:lang w:val="en-GB"/>
              </w:rPr>
            </w:pPr>
            <w:r w:rsidRPr="00225EE7">
              <w:rPr>
                <w:sz w:val="20"/>
                <w:szCs w:val="20"/>
                <w:lang w:val="en-GB"/>
              </w:rPr>
              <w:t>Sud-Ouest</w:t>
            </w: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Aquitaine</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Atlantic Arc</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Merge w:val="restart"/>
            <w:vAlign w:val="center"/>
          </w:tcPr>
          <w:p w:rsidR="007127CC" w:rsidRPr="00225EE7" w:rsidRDefault="007127CC" w:rsidP="00A50CE0">
            <w:pPr>
              <w:jc w:val="center"/>
              <w:rPr>
                <w:sz w:val="20"/>
                <w:szCs w:val="20"/>
                <w:lang w:val="en-GB"/>
              </w:rPr>
            </w:pPr>
            <w:r w:rsidRPr="00225EE7">
              <w:rPr>
                <w:sz w:val="20"/>
                <w:szCs w:val="20"/>
                <w:lang w:val="en-GB"/>
              </w:rPr>
              <w:t>Méditerrannée</w:t>
            </w: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Languedoc-Roussillon</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Mediterranean Sea</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Merge/>
            <w:vAlign w:val="center"/>
          </w:tcPr>
          <w:p w:rsidR="007127CC" w:rsidRPr="00225EE7" w:rsidRDefault="007127CC" w:rsidP="00A50CE0">
            <w:pPr>
              <w:jc w:val="center"/>
              <w:rPr>
                <w:sz w:val="20"/>
                <w:szCs w:val="20"/>
                <w:lang w:val="en-GB"/>
              </w:rPr>
            </w:pP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Provence-Alpes-C</w:t>
            </w:r>
            <w:r w:rsidRPr="00225EE7">
              <w:rPr>
                <w:rFonts w:cstheme="minorHAnsi"/>
                <w:b/>
                <w:sz w:val="20"/>
                <w:szCs w:val="20"/>
                <w:lang w:val="en-GB"/>
              </w:rPr>
              <w:t>ô</w:t>
            </w:r>
            <w:r w:rsidRPr="00225EE7">
              <w:rPr>
                <w:b/>
                <w:sz w:val="20"/>
                <w:szCs w:val="20"/>
                <w:lang w:val="en-GB"/>
              </w:rPr>
              <w:t>te d’Azur</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Mediterranean Sea</w:t>
            </w:r>
          </w:p>
        </w:tc>
      </w:tr>
      <w:tr w:rsidR="007127CC" w:rsidRPr="00225EE7" w:rsidTr="00A50CE0">
        <w:tc>
          <w:tcPr>
            <w:tcW w:w="1242" w:type="dxa"/>
            <w:vMerge/>
            <w:vAlign w:val="center"/>
          </w:tcPr>
          <w:p w:rsidR="007127CC" w:rsidRPr="00225EE7" w:rsidRDefault="007127CC" w:rsidP="00A50CE0">
            <w:pPr>
              <w:jc w:val="center"/>
              <w:rPr>
                <w:sz w:val="20"/>
                <w:szCs w:val="20"/>
                <w:lang w:val="en-GB"/>
              </w:rPr>
            </w:pPr>
          </w:p>
        </w:tc>
        <w:tc>
          <w:tcPr>
            <w:tcW w:w="2268" w:type="dxa"/>
            <w:vMerge/>
            <w:vAlign w:val="center"/>
          </w:tcPr>
          <w:p w:rsidR="007127CC" w:rsidRPr="00225EE7" w:rsidRDefault="007127CC" w:rsidP="00A50CE0">
            <w:pPr>
              <w:jc w:val="center"/>
              <w:rPr>
                <w:sz w:val="20"/>
                <w:szCs w:val="20"/>
                <w:lang w:val="en-GB"/>
              </w:rPr>
            </w:pPr>
          </w:p>
        </w:tc>
        <w:tc>
          <w:tcPr>
            <w:tcW w:w="3686" w:type="dxa"/>
            <w:vAlign w:val="center"/>
          </w:tcPr>
          <w:p w:rsidR="007127CC" w:rsidRPr="00225EE7" w:rsidRDefault="007127CC" w:rsidP="00A50CE0">
            <w:pPr>
              <w:jc w:val="center"/>
              <w:rPr>
                <w:b/>
                <w:sz w:val="20"/>
                <w:szCs w:val="20"/>
                <w:lang w:val="en-GB"/>
              </w:rPr>
            </w:pPr>
            <w:r w:rsidRPr="00225EE7">
              <w:rPr>
                <w:b/>
                <w:sz w:val="20"/>
                <w:szCs w:val="20"/>
                <w:lang w:val="en-GB"/>
              </w:rPr>
              <w:t>Corse</w:t>
            </w:r>
          </w:p>
        </w:tc>
        <w:tc>
          <w:tcPr>
            <w:tcW w:w="2658" w:type="dxa"/>
            <w:vAlign w:val="center"/>
          </w:tcPr>
          <w:p w:rsidR="007127CC" w:rsidRPr="00225EE7" w:rsidRDefault="007127CC" w:rsidP="00A50CE0">
            <w:pPr>
              <w:jc w:val="center"/>
              <w:rPr>
                <w:sz w:val="20"/>
                <w:szCs w:val="20"/>
                <w:lang w:val="en-GB"/>
              </w:rPr>
            </w:pPr>
            <w:r w:rsidRPr="00225EE7">
              <w:rPr>
                <w:sz w:val="20"/>
                <w:szCs w:val="20"/>
                <w:lang w:val="en-GB"/>
              </w:rPr>
              <w:t>Mediterranean Sea</w:t>
            </w:r>
          </w:p>
        </w:tc>
      </w:tr>
    </w:tbl>
    <w:p w:rsidR="007127CC" w:rsidRDefault="007127CC" w:rsidP="007127CC">
      <w:pPr>
        <w:rPr>
          <w:lang w:val="en-GB"/>
        </w:rPr>
      </w:pPr>
    </w:p>
    <w:p w:rsidR="00A50CE0" w:rsidRDefault="00A50CE0" w:rsidP="007127CC">
      <w:pPr>
        <w:rPr>
          <w:lang w:val="en-GB"/>
        </w:rPr>
      </w:pPr>
      <w:r>
        <w:rPr>
          <w:lang w:val="en-GB"/>
        </w:rPr>
        <w:t xml:space="preserve">Table </w:t>
      </w:r>
      <w:r w:rsidR="007F22B2">
        <w:rPr>
          <w:lang w:val="en-GB"/>
        </w:rPr>
        <w:t>3</w:t>
      </w:r>
      <w:r>
        <w:rPr>
          <w:lang w:val="en-GB"/>
        </w:rPr>
        <w:t xml:space="preserve"> presents the perc</w:t>
      </w:r>
      <w:r w:rsidR="00564DB3">
        <w:rPr>
          <w:lang w:val="en-GB"/>
        </w:rPr>
        <w:t>entage</w:t>
      </w:r>
      <w:r>
        <w:rPr>
          <w:lang w:val="en-GB"/>
        </w:rPr>
        <w:t xml:space="preserve"> share of each region in the </w:t>
      </w:r>
      <w:r w:rsidR="00DB44AC">
        <w:rPr>
          <w:lang w:val="en-GB"/>
        </w:rPr>
        <w:t>s</w:t>
      </w:r>
      <w:r>
        <w:rPr>
          <w:lang w:val="en-GB"/>
        </w:rPr>
        <w:t xml:space="preserve">pecific maritime economic activity. This share can be applied both to the GVA figures and the employment figures in table 1. As hardly any data </w:t>
      </w:r>
      <w:r w:rsidR="003154F4">
        <w:rPr>
          <w:lang w:val="en-GB"/>
        </w:rPr>
        <w:t>can be found in regionalised statistics allocation has been done on the basis of other parameters. The methodology used is explained is footnotes to the table.</w:t>
      </w:r>
    </w:p>
    <w:p w:rsidR="007127CC" w:rsidRDefault="007127CC" w:rsidP="007127CC">
      <w:pPr>
        <w:rPr>
          <w:lang w:val="en-GB"/>
        </w:rPr>
      </w:pPr>
    </w:p>
    <w:p w:rsidR="007127CC" w:rsidRDefault="007127CC" w:rsidP="007127CC">
      <w:pPr>
        <w:rPr>
          <w:lang w:val="en-GB"/>
        </w:rPr>
        <w:sectPr w:rsidR="007127CC" w:rsidSect="000138C7">
          <w:pgSz w:w="11906" w:h="16838"/>
          <w:pgMar w:top="1387" w:right="1134" w:bottom="1134" w:left="1134" w:header="284" w:footer="93" w:gutter="0"/>
          <w:cols w:space="708"/>
          <w:docGrid w:linePitch="360"/>
        </w:sectPr>
      </w:pPr>
    </w:p>
    <w:p w:rsidR="007127CC" w:rsidRDefault="007127CC" w:rsidP="00A472D7">
      <w:pPr>
        <w:pStyle w:val="Caption"/>
        <w:ind w:left="142" w:firstLine="992"/>
        <w:jc w:val="left"/>
      </w:pPr>
      <w:r w:rsidRPr="0002219B">
        <w:lastRenderedPageBreak/>
        <w:t xml:space="preserve">Table </w:t>
      </w:r>
      <w:r w:rsidR="00E8042A">
        <w:t>3</w:t>
      </w:r>
      <w:r w:rsidRPr="0002219B">
        <w:t xml:space="preserve"> - Overview of </w:t>
      </w:r>
      <w:r>
        <w:t xml:space="preserve">employment </w:t>
      </w:r>
      <w:r w:rsidR="006D3672">
        <w:t xml:space="preserve">and GVA </w:t>
      </w:r>
      <w:r>
        <w:t>per maritime economic activity pe</w:t>
      </w:r>
      <w:r w:rsidR="00AE5C53">
        <w:t xml:space="preserve">r region </w:t>
      </w:r>
      <w:r w:rsidR="006D3672">
        <w:t>(%)</w:t>
      </w:r>
    </w:p>
    <w:tbl>
      <w:tblPr>
        <w:tblW w:w="11984" w:type="dxa"/>
        <w:tblInd w:w="1315" w:type="dxa"/>
        <w:tblLayout w:type="fixed"/>
        <w:tblLook w:val="04A0" w:firstRow="1" w:lastRow="0" w:firstColumn="1" w:lastColumn="0" w:noHBand="0" w:noVBand="1"/>
      </w:tblPr>
      <w:tblGrid>
        <w:gridCol w:w="744"/>
        <w:gridCol w:w="849"/>
        <w:gridCol w:w="1049"/>
        <w:gridCol w:w="849"/>
        <w:gridCol w:w="849"/>
        <w:gridCol w:w="849"/>
        <w:gridCol w:w="850"/>
        <w:gridCol w:w="849"/>
        <w:gridCol w:w="849"/>
        <w:gridCol w:w="850"/>
        <w:gridCol w:w="849"/>
        <w:gridCol w:w="849"/>
        <w:gridCol w:w="850"/>
        <w:gridCol w:w="849"/>
      </w:tblGrid>
      <w:tr w:rsidR="006D3672" w:rsidRPr="006D3672" w:rsidTr="00A472D7">
        <w:trPr>
          <w:trHeight w:val="170"/>
          <w:tblHeader/>
        </w:trPr>
        <w:tc>
          <w:tcPr>
            <w:tcW w:w="2642"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rsidR="006D3672" w:rsidRPr="006D3672" w:rsidRDefault="006D3672" w:rsidP="006D3672">
            <w:pPr>
              <w:keepNext/>
              <w:keepLines/>
              <w:contextualSpacing/>
              <w:jc w:val="center"/>
              <w:rPr>
                <w:rFonts w:eastAsia="Times New Roman" w:cstheme="minorHAnsi"/>
                <w:b/>
                <w:bCs/>
                <w:color w:val="000000"/>
                <w:sz w:val="18"/>
                <w:szCs w:val="18"/>
                <w:lang w:val="en-GB" w:eastAsia="en-GB"/>
              </w:rPr>
            </w:pPr>
            <w:r w:rsidRPr="006D3672">
              <w:rPr>
                <w:rFonts w:eastAsia="Times New Roman" w:cstheme="minorHAnsi"/>
                <w:b/>
                <w:bCs/>
                <w:color w:val="000000"/>
                <w:sz w:val="18"/>
                <w:szCs w:val="18"/>
                <w:lang w:val="en-GB" w:eastAsia="en-GB"/>
              </w:rPr>
              <w:t>Sea-basin</w:t>
            </w:r>
          </w:p>
        </w:tc>
        <w:tc>
          <w:tcPr>
            <w:tcW w:w="5945" w:type="dxa"/>
            <w:gridSpan w:val="7"/>
            <w:tcBorders>
              <w:top w:val="single" w:sz="4" w:space="0" w:color="auto"/>
              <w:left w:val="single" w:sz="4" w:space="0" w:color="auto"/>
              <w:bottom w:val="single" w:sz="4" w:space="0" w:color="auto"/>
              <w:right w:val="single" w:sz="4" w:space="0" w:color="auto"/>
            </w:tcBorders>
            <w:shd w:val="clear" w:color="000000" w:fill="DBE5F1"/>
            <w:vAlign w:val="center"/>
          </w:tcPr>
          <w:p w:rsidR="006D3672" w:rsidRPr="006D3672" w:rsidRDefault="006D3672" w:rsidP="006D3672">
            <w:pPr>
              <w:keepNext/>
              <w:keepLines/>
              <w:contextualSpacing/>
              <w:jc w:val="center"/>
              <w:rPr>
                <w:rFonts w:cstheme="minorHAnsi"/>
                <w:b/>
                <w:sz w:val="18"/>
                <w:szCs w:val="18"/>
                <w:lang w:val="en-GB"/>
              </w:rPr>
            </w:pPr>
            <w:r w:rsidRPr="006D3672">
              <w:rPr>
                <w:rFonts w:cstheme="minorHAnsi"/>
                <w:b/>
                <w:sz w:val="18"/>
                <w:szCs w:val="18"/>
                <w:lang w:val="en-GB"/>
              </w:rPr>
              <w:t>Atlantic Arc</w:t>
            </w:r>
          </w:p>
        </w:tc>
        <w:tc>
          <w:tcPr>
            <w:tcW w:w="2548"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rsidR="006D3672" w:rsidRPr="006D3672" w:rsidRDefault="006D3672" w:rsidP="006D3672">
            <w:pPr>
              <w:keepNext/>
              <w:keepLines/>
              <w:contextualSpacing/>
              <w:jc w:val="center"/>
              <w:rPr>
                <w:rFonts w:cstheme="minorHAnsi"/>
                <w:b/>
                <w:sz w:val="18"/>
                <w:szCs w:val="18"/>
                <w:lang w:val="en-GB"/>
              </w:rPr>
            </w:pPr>
            <w:r w:rsidRPr="006D3672">
              <w:rPr>
                <w:rFonts w:cstheme="minorHAnsi"/>
                <w:b/>
                <w:sz w:val="18"/>
                <w:szCs w:val="18"/>
                <w:lang w:val="en-GB"/>
              </w:rPr>
              <w:t>Mediterranean Sea-basin</w:t>
            </w:r>
          </w:p>
        </w:tc>
        <w:tc>
          <w:tcPr>
            <w:tcW w:w="849" w:type="dxa"/>
            <w:tcBorders>
              <w:top w:val="single" w:sz="4" w:space="0" w:color="auto"/>
              <w:left w:val="single" w:sz="4" w:space="0" w:color="auto"/>
              <w:bottom w:val="single" w:sz="4" w:space="0" w:color="auto"/>
              <w:right w:val="single" w:sz="4" w:space="0" w:color="auto"/>
            </w:tcBorders>
            <w:shd w:val="clear" w:color="000000" w:fill="DBE5F1"/>
            <w:vAlign w:val="center"/>
          </w:tcPr>
          <w:p w:rsidR="006D3672" w:rsidRPr="006D3672" w:rsidRDefault="006D3672" w:rsidP="006D3672">
            <w:pPr>
              <w:keepNext/>
              <w:keepLines/>
              <w:contextualSpacing/>
              <w:jc w:val="center"/>
              <w:rPr>
                <w:rFonts w:cstheme="minorHAnsi"/>
                <w:b/>
                <w:sz w:val="18"/>
                <w:szCs w:val="18"/>
                <w:lang w:val="en-GB"/>
              </w:rPr>
            </w:pPr>
            <w:r w:rsidRPr="006D3672">
              <w:rPr>
                <w:rFonts w:cstheme="minorHAnsi"/>
                <w:b/>
                <w:sz w:val="18"/>
                <w:szCs w:val="18"/>
                <w:lang w:val="en-GB"/>
              </w:rPr>
              <w:t>North-Sea basin</w:t>
            </w:r>
          </w:p>
        </w:tc>
      </w:tr>
      <w:tr w:rsidR="006D3672" w:rsidRPr="006D3672" w:rsidTr="00A472D7">
        <w:trPr>
          <w:cantSplit/>
          <w:trHeight w:val="1134"/>
          <w:tblHeader/>
        </w:trPr>
        <w:tc>
          <w:tcPr>
            <w:tcW w:w="2642"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6D3672" w:rsidRPr="006D3672" w:rsidRDefault="006D3672" w:rsidP="006D3672">
            <w:pPr>
              <w:keepNext/>
              <w:keepLines/>
              <w:contextualSpacing/>
              <w:jc w:val="center"/>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Regional percentages (%) apply to Employment and GVA data</w:t>
            </w:r>
          </w:p>
        </w:tc>
        <w:tc>
          <w:tcPr>
            <w:tcW w:w="849"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cstheme="minorHAnsi"/>
                <w:b/>
                <w:sz w:val="18"/>
                <w:szCs w:val="18"/>
                <w:lang w:val="en-GB"/>
              </w:rPr>
              <w:t>Haute Normandie</w:t>
            </w:r>
          </w:p>
        </w:tc>
        <w:tc>
          <w:tcPr>
            <w:tcW w:w="849" w:type="dxa"/>
            <w:tcBorders>
              <w:top w:val="single" w:sz="4" w:space="0" w:color="auto"/>
              <w:left w:val="single" w:sz="4" w:space="0" w:color="auto"/>
              <w:bottom w:val="single" w:sz="4" w:space="0" w:color="auto"/>
              <w:right w:val="single" w:sz="4" w:space="0" w:color="auto"/>
            </w:tcBorders>
            <w:shd w:val="clear" w:color="000000" w:fill="DBE5F1"/>
            <w:textDirection w:val="btL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cstheme="minorHAnsi"/>
                <w:b/>
                <w:sz w:val="18"/>
                <w:szCs w:val="18"/>
                <w:lang w:val="en-GB"/>
              </w:rPr>
              <w:t>Basse Normandie</w:t>
            </w:r>
          </w:p>
        </w:tc>
        <w:tc>
          <w:tcPr>
            <w:tcW w:w="849"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cstheme="minorHAnsi"/>
                <w:b/>
                <w:sz w:val="18"/>
                <w:szCs w:val="18"/>
                <w:lang w:val="en-GB"/>
              </w:rPr>
              <w:t>Picardie</w:t>
            </w:r>
          </w:p>
        </w:tc>
        <w:tc>
          <w:tcPr>
            <w:tcW w:w="850"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eastAsia="Times New Roman" w:cstheme="minorHAnsi"/>
                <w:b/>
                <w:bCs/>
                <w:color w:val="000000"/>
                <w:sz w:val="18"/>
                <w:szCs w:val="18"/>
                <w:lang w:val="en-GB" w:eastAsia="en-GB"/>
              </w:rPr>
            </w:pPr>
            <w:r w:rsidRPr="006D3672">
              <w:rPr>
                <w:rFonts w:eastAsia="Times New Roman" w:cstheme="minorHAnsi"/>
                <w:b/>
                <w:bCs/>
                <w:color w:val="000000"/>
                <w:sz w:val="18"/>
                <w:szCs w:val="18"/>
                <w:lang w:val="en-GB" w:eastAsia="en-GB"/>
              </w:rPr>
              <w:t>Pays de la Loire</w:t>
            </w:r>
          </w:p>
        </w:tc>
        <w:tc>
          <w:tcPr>
            <w:tcW w:w="849"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cstheme="minorHAnsi"/>
                <w:b/>
                <w:sz w:val="18"/>
                <w:szCs w:val="18"/>
                <w:lang w:val="en-GB"/>
              </w:rPr>
              <w:t>Bretagne</w:t>
            </w:r>
          </w:p>
        </w:tc>
        <w:tc>
          <w:tcPr>
            <w:tcW w:w="849"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cstheme="minorHAnsi"/>
                <w:b/>
                <w:sz w:val="18"/>
                <w:szCs w:val="18"/>
                <w:lang w:val="en-GB"/>
              </w:rPr>
              <w:t>Poitou-Charentes</w:t>
            </w:r>
          </w:p>
        </w:tc>
        <w:tc>
          <w:tcPr>
            <w:tcW w:w="850"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cstheme="minorHAnsi"/>
                <w:b/>
                <w:sz w:val="18"/>
                <w:szCs w:val="18"/>
                <w:lang w:val="en-GB"/>
              </w:rPr>
              <w:t>Aquitaine</w:t>
            </w:r>
          </w:p>
        </w:tc>
        <w:tc>
          <w:tcPr>
            <w:tcW w:w="849"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cstheme="minorHAnsi"/>
                <w:b/>
                <w:sz w:val="18"/>
                <w:szCs w:val="18"/>
                <w:lang w:val="en-GB"/>
              </w:rPr>
              <w:t>Languedoc-Roussillon</w:t>
            </w:r>
          </w:p>
        </w:tc>
        <w:tc>
          <w:tcPr>
            <w:tcW w:w="849"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eastAsia="Times New Roman" w:cstheme="minorHAnsi"/>
                <w:b/>
                <w:bCs/>
                <w:color w:val="000000"/>
                <w:sz w:val="18"/>
                <w:szCs w:val="18"/>
                <w:lang w:val="en-GB" w:eastAsia="en-GB"/>
              </w:rPr>
              <w:t>Provence Alpes Cote d’Azur</w:t>
            </w:r>
          </w:p>
        </w:tc>
        <w:tc>
          <w:tcPr>
            <w:tcW w:w="850"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cstheme="minorHAnsi"/>
                <w:b/>
                <w:sz w:val="18"/>
                <w:szCs w:val="18"/>
                <w:lang w:val="en-GB"/>
              </w:rPr>
              <w:t>Corse</w:t>
            </w:r>
          </w:p>
        </w:tc>
        <w:tc>
          <w:tcPr>
            <w:tcW w:w="849"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6D3672" w:rsidRPr="006D3672" w:rsidRDefault="006D3672" w:rsidP="006D3672">
            <w:pPr>
              <w:keepNext/>
              <w:keepLines/>
              <w:ind w:left="113" w:right="113"/>
              <w:contextualSpacing/>
              <w:jc w:val="center"/>
              <w:rPr>
                <w:rFonts w:cstheme="minorHAnsi"/>
                <w:b/>
                <w:sz w:val="18"/>
                <w:szCs w:val="18"/>
                <w:lang w:val="en-GB"/>
              </w:rPr>
            </w:pPr>
            <w:r w:rsidRPr="006D3672">
              <w:rPr>
                <w:rFonts w:cstheme="minorHAnsi"/>
                <w:b/>
                <w:sz w:val="18"/>
                <w:szCs w:val="18"/>
                <w:lang w:val="en-GB"/>
              </w:rPr>
              <w:t>Nord-Pas de Calais</w:t>
            </w:r>
          </w:p>
        </w:tc>
      </w:tr>
      <w:tr w:rsidR="008744D6" w:rsidRPr="006D3672" w:rsidTr="006D3672">
        <w:trPr>
          <w:trHeight w:val="20"/>
        </w:trPr>
        <w:tc>
          <w:tcPr>
            <w:tcW w:w="744" w:type="dxa"/>
            <w:tcBorders>
              <w:top w:val="nil"/>
              <w:left w:val="single" w:sz="4" w:space="0" w:color="auto"/>
              <w:bottom w:val="single" w:sz="4" w:space="0" w:color="auto"/>
              <w:right w:val="single" w:sz="4" w:space="0" w:color="auto"/>
            </w:tcBorders>
            <w:shd w:val="clear" w:color="auto" w:fill="0070C0"/>
            <w:vAlign w:val="center"/>
          </w:tcPr>
          <w:p w:rsidR="006D3672" w:rsidRPr="006D3672" w:rsidRDefault="006D3672" w:rsidP="006D3672">
            <w:pPr>
              <w:keepNext/>
              <w:keepLines/>
              <w:contextualSpacing/>
              <w:jc w:val="right"/>
              <w:rPr>
                <w:rFonts w:eastAsia="Times New Roman" w:cstheme="minorHAnsi"/>
                <w:b/>
                <w:color w:val="FFFFFF" w:themeColor="background1"/>
                <w:sz w:val="18"/>
                <w:szCs w:val="18"/>
                <w:lang w:val="en-GB" w:eastAsia="en-GB"/>
              </w:rPr>
            </w:pPr>
            <w:r w:rsidRPr="006D3672">
              <w:rPr>
                <w:rFonts w:eastAsia="Times New Roman" w:cstheme="minorHAnsi"/>
                <w:b/>
                <w:color w:val="FFFFFF" w:themeColor="background1"/>
                <w:sz w:val="18"/>
                <w:szCs w:val="18"/>
                <w:lang w:val="en-GB" w:eastAsia="en-GB"/>
              </w:rPr>
              <w:t>0.</w:t>
            </w:r>
          </w:p>
        </w:tc>
        <w:tc>
          <w:tcPr>
            <w:tcW w:w="1898" w:type="dxa"/>
            <w:gridSpan w:val="2"/>
            <w:tcBorders>
              <w:top w:val="nil"/>
              <w:left w:val="nil"/>
              <w:bottom w:val="single" w:sz="4" w:space="0" w:color="auto"/>
              <w:right w:val="single" w:sz="4" w:space="0" w:color="auto"/>
            </w:tcBorders>
            <w:shd w:val="clear" w:color="auto" w:fill="0070C0"/>
            <w:vAlign w:val="center"/>
          </w:tcPr>
          <w:p w:rsidR="006D3672" w:rsidRPr="006D3672" w:rsidRDefault="006D3672" w:rsidP="006D3672">
            <w:pPr>
              <w:keepNext/>
              <w:keepLines/>
              <w:contextualSpacing/>
              <w:jc w:val="left"/>
              <w:rPr>
                <w:rFonts w:eastAsia="Times New Roman" w:cstheme="minorHAnsi"/>
                <w:b/>
                <w:color w:val="FFFFFF" w:themeColor="background1"/>
                <w:sz w:val="18"/>
                <w:szCs w:val="18"/>
                <w:lang w:val="en-GB" w:eastAsia="en-GB"/>
              </w:rPr>
            </w:pPr>
            <w:r w:rsidRPr="006D3672">
              <w:rPr>
                <w:rFonts w:eastAsia="Times New Roman" w:cstheme="minorHAnsi"/>
                <w:b/>
                <w:color w:val="FFFFFF" w:themeColor="background1"/>
                <w:sz w:val="18"/>
                <w:szCs w:val="18"/>
                <w:lang w:val="en-GB" w:eastAsia="en-GB"/>
              </w:rPr>
              <w:t>Shipbuilding</w:t>
            </w:r>
          </w:p>
        </w:tc>
        <w:tc>
          <w:tcPr>
            <w:tcW w:w="849" w:type="dxa"/>
            <w:tcBorders>
              <w:top w:val="nil"/>
              <w:left w:val="nil"/>
              <w:bottom w:val="single" w:sz="4" w:space="0" w:color="auto"/>
              <w:right w:val="single" w:sz="4" w:space="0" w:color="auto"/>
            </w:tcBorders>
            <w:shd w:val="clear" w:color="auto" w:fill="0070C0"/>
            <w:vAlign w:val="center"/>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49"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50" w:type="dxa"/>
            <w:tcBorders>
              <w:top w:val="nil"/>
              <w:left w:val="nil"/>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49" w:type="dxa"/>
            <w:tcBorders>
              <w:top w:val="nil"/>
              <w:left w:val="nil"/>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49" w:type="dxa"/>
            <w:tcBorders>
              <w:top w:val="nil"/>
              <w:left w:val="nil"/>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contextualSpacing/>
              <w:jc w:val="center"/>
              <w:rPr>
                <w:rFonts w:eastAsia="Times New Roman" w:cstheme="minorHAnsi"/>
                <w:b/>
                <w:i/>
                <w:color w:val="FFFFFF" w:themeColor="background1"/>
                <w:sz w:val="18"/>
                <w:szCs w:val="18"/>
                <w:lang w:val="en-GB" w:eastAsia="en-GB"/>
              </w:rPr>
            </w:pPr>
          </w:p>
        </w:tc>
      </w:tr>
      <w:tr w:rsidR="006D3672" w:rsidRPr="006D3672" w:rsidTr="00A472D7">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0.1</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FF4282">
            <w:pPr>
              <w:keepNext/>
              <w:keepLines/>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Shipbuilding</w:t>
            </w:r>
            <w:r>
              <w:rPr>
                <w:rStyle w:val="FootnoteReference"/>
                <w:rFonts w:eastAsia="Times New Roman" w:cstheme="minorHAnsi"/>
                <w:color w:val="000000"/>
                <w:sz w:val="18"/>
                <w:szCs w:val="18"/>
                <w:lang w:val="en-GB" w:eastAsia="en-GB"/>
              </w:rPr>
              <w:footnoteReference w:id="103"/>
            </w:r>
            <w:r w:rsidRPr="006D3672">
              <w:rPr>
                <w:rFonts w:eastAsia="Times New Roman" w:cstheme="minorHAnsi"/>
                <w:color w:val="000000"/>
                <w:sz w:val="18"/>
                <w:szCs w:val="18"/>
                <w:lang w:val="en-GB" w:eastAsia="en-GB"/>
              </w:rPr>
              <w:t xml:space="preserve"> </w:t>
            </w:r>
          </w:p>
        </w:tc>
        <w:tc>
          <w:tcPr>
            <w:tcW w:w="849" w:type="dxa"/>
            <w:tcBorders>
              <w:top w:val="nil"/>
              <w:left w:val="nil"/>
              <w:bottom w:val="single" w:sz="4" w:space="0" w:color="auto"/>
              <w:right w:val="single" w:sz="4" w:space="0" w:color="auto"/>
            </w:tcBorders>
            <w:shd w:val="clear" w:color="auto" w:fill="auto"/>
            <w:vAlign w:val="center"/>
          </w:tcPr>
          <w:p w:rsidR="006D3672" w:rsidRPr="00A472D7" w:rsidRDefault="006D3672" w:rsidP="006D3672">
            <w:pPr>
              <w:keepNext/>
              <w:keepLines/>
              <w:contextualSpacing/>
              <w:jc w:val="center"/>
              <w:rPr>
                <w:rFonts w:eastAsia="Times New Roman" w:cstheme="minorHAnsi"/>
                <w:b/>
                <w:sz w:val="18"/>
                <w:szCs w:val="18"/>
                <w:lang w:val="en-GB" w:eastAsia="en-GB"/>
              </w:rPr>
            </w:pPr>
          </w:p>
        </w:tc>
        <w:tc>
          <w:tcPr>
            <w:tcW w:w="849" w:type="dxa"/>
            <w:tcBorders>
              <w:top w:val="single" w:sz="4" w:space="0" w:color="auto"/>
              <w:left w:val="nil"/>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r w:rsidRPr="00A472D7">
              <w:rPr>
                <w:rFonts w:eastAsia="Times New Roman" w:cstheme="minorHAnsi"/>
                <w:sz w:val="18"/>
                <w:szCs w:val="18"/>
                <w:lang w:val="en-GB" w:eastAsia="en-GB"/>
              </w:rPr>
              <w:t>12.4</w:t>
            </w:r>
          </w:p>
        </w:tc>
        <w:tc>
          <w:tcPr>
            <w:tcW w:w="849" w:type="dxa"/>
            <w:tcBorders>
              <w:top w:val="single" w:sz="4" w:space="0" w:color="auto"/>
              <w:left w:val="single" w:sz="4" w:space="0" w:color="auto"/>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p>
        </w:tc>
        <w:tc>
          <w:tcPr>
            <w:tcW w:w="850" w:type="dxa"/>
            <w:tcBorders>
              <w:top w:val="nil"/>
              <w:left w:val="nil"/>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r w:rsidRPr="00A472D7">
              <w:rPr>
                <w:rFonts w:eastAsia="Times New Roman" w:cstheme="minorHAnsi"/>
                <w:sz w:val="18"/>
                <w:szCs w:val="18"/>
                <w:lang w:val="en-GB" w:eastAsia="en-GB"/>
              </w:rPr>
              <w:t>35.7</w:t>
            </w:r>
          </w:p>
        </w:tc>
        <w:tc>
          <w:tcPr>
            <w:tcW w:w="849" w:type="dxa"/>
            <w:tcBorders>
              <w:top w:val="nil"/>
              <w:left w:val="nil"/>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r w:rsidRPr="00A472D7">
              <w:rPr>
                <w:rFonts w:eastAsia="Times New Roman" w:cstheme="minorHAnsi"/>
                <w:sz w:val="18"/>
                <w:szCs w:val="18"/>
                <w:lang w:val="en-GB" w:eastAsia="en-GB"/>
              </w:rPr>
              <w:t>26</w:t>
            </w:r>
          </w:p>
        </w:tc>
        <w:tc>
          <w:tcPr>
            <w:tcW w:w="849" w:type="dxa"/>
            <w:tcBorders>
              <w:top w:val="nil"/>
              <w:left w:val="nil"/>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r w:rsidRPr="00A472D7">
              <w:rPr>
                <w:rFonts w:eastAsia="Times New Roman" w:cstheme="minorHAnsi"/>
                <w:sz w:val="18"/>
                <w:szCs w:val="18"/>
                <w:lang w:val="en-GB" w:eastAsia="en-GB"/>
              </w:rPr>
              <w:t>10</w:t>
            </w:r>
          </w:p>
        </w:tc>
        <w:tc>
          <w:tcPr>
            <w:tcW w:w="850" w:type="dxa"/>
            <w:tcBorders>
              <w:top w:val="single" w:sz="4" w:space="0" w:color="auto"/>
              <w:left w:val="nil"/>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r w:rsidRPr="00A472D7">
              <w:rPr>
                <w:rFonts w:eastAsia="Times New Roman" w:cstheme="minorHAnsi"/>
                <w:sz w:val="18"/>
                <w:szCs w:val="18"/>
                <w:lang w:val="en-GB" w:eastAsia="en-GB"/>
              </w:rPr>
              <w:t>15.7</w:t>
            </w:r>
          </w:p>
        </w:tc>
        <w:tc>
          <w:tcPr>
            <w:tcW w:w="850" w:type="dxa"/>
            <w:tcBorders>
              <w:top w:val="single" w:sz="4" w:space="0" w:color="auto"/>
              <w:left w:val="single" w:sz="4" w:space="0" w:color="auto"/>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p>
        </w:tc>
      </w:tr>
      <w:tr w:rsidR="006D3672" w:rsidRPr="006D3672" w:rsidTr="00A472D7">
        <w:trPr>
          <w:trHeight w:val="20"/>
        </w:trPr>
        <w:tc>
          <w:tcPr>
            <w:tcW w:w="744" w:type="dxa"/>
            <w:tcBorders>
              <w:top w:val="single" w:sz="4" w:space="0" w:color="auto"/>
              <w:left w:val="single" w:sz="4" w:space="0" w:color="auto"/>
              <w:bottom w:val="single" w:sz="4" w:space="0" w:color="auto"/>
              <w:right w:val="single" w:sz="4" w:space="0" w:color="auto"/>
            </w:tcBorders>
            <w:shd w:val="clear" w:color="auto" w:fill="0070C0"/>
            <w:vAlign w:val="center"/>
          </w:tcPr>
          <w:p w:rsidR="006D3672" w:rsidRPr="006D3672" w:rsidRDefault="006D3672" w:rsidP="006D3672">
            <w:pPr>
              <w:keepNext/>
              <w:keepLines/>
              <w:contextualSpacing/>
              <w:jc w:val="right"/>
              <w:rPr>
                <w:rFonts w:eastAsia="Times New Roman" w:cstheme="minorHAnsi"/>
                <w:b/>
                <w:color w:val="FFFFFF" w:themeColor="background1"/>
                <w:sz w:val="18"/>
                <w:szCs w:val="18"/>
                <w:lang w:val="en-GB" w:eastAsia="en-GB"/>
              </w:rPr>
            </w:pPr>
            <w:r w:rsidRPr="006D3672">
              <w:rPr>
                <w:rFonts w:eastAsia="Times New Roman" w:cstheme="minorHAnsi"/>
                <w:b/>
                <w:color w:val="FFFFFF" w:themeColor="background1"/>
                <w:sz w:val="18"/>
                <w:szCs w:val="18"/>
                <w:lang w:val="en-GB" w:eastAsia="en-GB"/>
              </w:rPr>
              <w:t>1.</w:t>
            </w:r>
          </w:p>
        </w:tc>
        <w:tc>
          <w:tcPr>
            <w:tcW w:w="849"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contextualSpacing/>
              <w:jc w:val="left"/>
              <w:rPr>
                <w:rFonts w:eastAsia="Times New Roman" w:cstheme="minorHAnsi"/>
                <w:b/>
                <w:color w:val="FFFFFF" w:themeColor="background1"/>
                <w:sz w:val="18"/>
                <w:szCs w:val="18"/>
                <w:lang w:val="en-GB" w:eastAsia="en-GB"/>
              </w:rPr>
            </w:pPr>
          </w:p>
        </w:tc>
        <w:tc>
          <w:tcPr>
            <w:tcW w:w="4446" w:type="dxa"/>
            <w:gridSpan w:val="5"/>
            <w:tcBorders>
              <w:top w:val="single" w:sz="4" w:space="0" w:color="auto"/>
              <w:left w:val="single" w:sz="4" w:space="0" w:color="auto"/>
              <w:bottom w:val="single" w:sz="4" w:space="0" w:color="auto"/>
              <w:right w:val="single" w:sz="4" w:space="0" w:color="auto"/>
            </w:tcBorders>
            <w:shd w:val="clear" w:color="auto" w:fill="0070C0"/>
            <w:vAlign w:val="center"/>
          </w:tcPr>
          <w:p w:rsidR="006D3672" w:rsidRPr="00A472D7" w:rsidRDefault="006D3672" w:rsidP="006D3672">
            <w:pPr>
              <w:keepNext/>
              <w:keepLines/>
              <w:contextualSpacing/>
              <w:jc w:val="left"/>
              <w:rPr>
                <w:rFonts w:eastAsia="Times New Roman" w:cstheme="minorHAnsi"/>
                <w:b/>
                <w:color w:val="FFFFFF" w:themeColor="background1"/>
                <w:sz w:val="18"/>
                <w:szCs w:val="18"/>
                <w:lang w:val="en-GB" w:eastAsia="en-GB"/>
              </w:rPr>
            </w:pPr>
            <w:r w:rsidRPr="00FF4282">
              <w:rPr>
                <w:rFonts w:eastAsia="Times New Roman" w:cstheme="minorHAnsi"/>
                <w:b/>
                <w:color w:val="FFFFFF" w:themeColor="background1"/>
                <w:sz w:val="18"/>
                <w:szCs w:val="18"/>
                <w:lang w:val="en-GB" w:eastAsia="en-GB"/>
              </w:rPr>
              <w:t>Maritime transport and shipbuilding</w:t>
            </w:r>
          </w:p>
        </w:tc>
        <w:tc>
          <w:tcPr>
            <w:tcW w:w="849" w:type="dxa"/>
            <w:tcBorders>
              <w:top w:val="single" w:sz="4" w:space="0" w:color="auto"/>
              <w:left w:val="nil"/>
              <w:bottom w:val="single" w:sz="4" w:space="0" w:color="auto"/>
              <w:right w:val="single" w:sz="4" w:space="0" w:color="auto"/>
            </w:tcBorders>
            <w:shd w:val="clear" w:color="auto" w:fill="0070C0"/>
          </w:tcPr>
          <w:p w:rsidR="006D3672" w:rsidRPr="00A472D7" w:rsidRDefault="006D3672" w:rsidP="006D3672">
            <w:pPr>
              <w:keepNext/>
              <w:keepLines/>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nil"/>
              <w:bottom w:val="single" w:sz="4" w:space="0" w:color="auto"/>
              <w:right w:val="single" w:sz="4" w:space="0" w:color="auto"/>
            </w:tcBorders>
            <w:shd w:val="clear" w:color="auto" w:fill="0070C0"/>
          </w:tcPr>
          <w:p w:rsidR="006D3672" w:rsidRPr="00A472D7" w:rsidRDefault="006D3672" w:rsidP="006D3672">
            <w:pPr>
              <w:keepNext/>
              <w:keepLines/>
              <w:contextualSpacing/>
              <w:jc w:val="center"/>
              <w:rPr>
                <w:rFonts w:eastAsia="Times New Roman" w:cstheme="minorHAnsi"/>
                <w:b/>
                <w:color w:val="FFFFFF" w:themeColor="background1"/>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0070C0"/>
          </w:tcPr>
          <w:p w:rsidR="006D3672" w:rsidRPr="00A472D7" w:rsidRDefault="006D3672" w:rsidP="006D3672">
            <w:pPr>
              <w:keepNext/>
              <w:keepLines/>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A472D7" w:rsidRDefault="006D3672" w:rsidP="006D3672">
            <w:pPr>
              <w:keepNext/>
              <w:keepLines/>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A472D7" w:rsidRDefault="006D3672" w:rsidP="006D3672">
            <w:pPr>
              <w:keepNext/>
              <w:keepLines/>
              <w:contextualSpacing/>
              <w:jc w:val="center"/>
              <w:rPr>
                <w:rFonts w:eastAsia="Times New Roman" w:cstheme="minorHAnsi"/>
                <w:b/>
                <w:color w:val="FFFFFF" w:themeColor="background1"/>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70C0"/>
          </w:tcPr>
          <w:p w:rsidR="006D3672" w:rsidRPr="00A472D7" w:rsidRDefault="006D3672" w:rsidP="006D3672">
            <w:pPr>
              <w:keepNext/>
              <w:keepLines/>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A472D7" w:rsidRDefault="006D3672" w:rsidP="006D3672">
            <w:pPr>
              <w:keepNext/>
              <w:keepLines/>
              <w:contextualSpacing/>
              <w:jc w:val="center"/>
              <w:rPr>
                <w:rFonts w:eastAsia="Times New Roman" w:cstheme="minorHAnsi"/>
                <w:b/>
                <w:color w:val="FFFFFF" w:themeColor="background1"/>
                <w:sz w:val="18"/>
                <w:szCs w:val="18"/>
                <w:lang w:val="en-GB" w:eastAsia="en-GB"/>
              </w:rPr>
            </w:pPr>
          </w:p>
        </w:tc>
      </w:tr>
      <w:tr w:rsidR="006D3672" w:rsidRPr="006D3672" w:rsidTr="008744D6">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1.1</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Deep-sea shipping</w:t>
            </w:r>
            <w:r>
              <w:rPr>
                <w:rStyle w:val="FootnoteReference"/>
                <w:rFonts w:eastAsia="Times New Roman" w:cstheme="minorHAnsi"/>
                <w:color w:val="000000"/>
                <w:sz w:val="18"/>
                <w:szCs w:val="18"/>
                <w:lang w:val="en-GB" w:eastAsia="en-GB"/>
              </w:rPr>
              <w:footnoteReference w:id="104"/>
            </w:r>
          </w:p>
        </w:tc>
        <w:tc>
          <w:tcPr>
            <w:tcW w:w="5945" w:type="dxa"/>
            <w:gridSpan w:val="7"/>
            <w:tcBorders>
              <w:top w:val="nil"/>
              <w:left w:val="nil"/>
              <w:bottom w:val="single" w:sz="4" w:space="0" w:color="auto"/>
              <w:right w:val="single" w:sz="4" w:space="0" w:color="auto"/>
            </w:tcBorders>
            <w:shd w:val="clear" w:color="auto" w:fill="auto"/>
            <w:vAlign w:val="center"/>
          </w:tcPr>
          <w:p w:rsidR="006D3672" w:rsidRPr="00A472D7" w:rsidRDefault="006D3672" w:rsidP="006D3672">
            <w:pPr>
              <w:keepNext/>
              <w:keepLines/>
              <w:contextualSpacing/>
              <w:jc w:val="center"/>
              <w:rPr>
                <w:rFonts w:eastAsia="Times New Roman" w:cstheme="minorHAnsi"/>
                <w:sz w:val="18"/>
                <w:szCs w:val="18"/>
                <w:lang w:val="en-GB" w:eastAsia="en-GB"/>
              </w:rPr>
            </w:pPr>
            <w:r w:rsidRPr="00A472D7">
              <w:rPr>
                <w:rFonts w:eastAsia="Times New Roman" w:cstheme="minorHAnsi"/>
                <w:sz w:val="18"/>
                <w:szCs w:val="18"/>
                <w:lang w:val="en-GB" w:eastAsia="en-GB"/>
              </w:rPr>
              <w:t>54</w:t>
            </w:r>
          </w:p>
        </w:tc>
        <w:tc>
          <w:tcPr>
            <w:tcW w:w="2548" w:type="dxa"/>
            <w:gridSpan w:val="3"/>
            <w:tcBorders>
              <w:top w:val="single" w:sz="4" w:space="0" w:color="auto"/>
              <w:left w:val="single" w:sz="4" w:space="0" w:color="auto"/>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r w:rsidRPr="00A472D7">
              <w:rPr>
                <w:rFonts w:eastAsia="Times New Roman" w:cstheme="minorHAnsi"/>
                <w:sz w:val="18"/>
                <w:szCs w:val="18"/>
                <w:lang w:val="en-GB" w:eastAsia="en-GB"/>
              </w:rPr>
              <w:t>28</w:t>
            </w:r>
          </w:p>
        </w:tc>
        <w:tc>
          <w:tcPr>
            <w:tcW w:w="849" w:type="dxa"/>
            <w:tcBorders>
              <w:top w:val="single" w:sz="4" w:space="0" w:color="auto"/>
              <w:left w:val="single" w:sz="4" w:space="0" w:color="auto"/>
              <w:bottom w:val="single" w:sz="4" w:space="0" w:color="auto"/>
              <w:right w:val="single" w:sz="4" w:space="0" w:color="auto"/>
            </w:tcBorders>
          </w:tcPr>
          <w:p w:rsidR="006D3672" w:rsidRPr="00A472D7" w:rsidRDefault="006D3672" w:rsidP="006D3672">
            <w:pPr>
              <w:keepNext/>
              <w:keepLines/>
              <w:contextualSpacing/>
              <w:jc w:val="center"/>
              <w:rPr>
                <w:rFonts w:eastAsia="Times New Roman" w:cstheme="minorHAnsi"/>
                <w:sz w:val="18"/>
                <w:szCs w:val="18"/>
                <w:lang w:val="en-GB" w:eastAsia="en-GB"/>
              </w:rPr>
            </w:pPr>
            <w:r w:rsidRPr="00A472D7">
              <w:rPr>
                <w:rFonts w:eastAsia="Times New Roman" w:cstheme="minorHAnsi"/>
                <w:sz w:val="18"/>
                <w:szCs w:val="18"/>
                <w:lang w:val="en-GB" w:eastAsia="en-GB"/>
              </w:rPr>
              <w:t>18</w:t>
            </w:r>
          </w:p>
        </w:tc>
      </w:tr>
      <w:tr w:rsidR="006D3672" w:rsidRPr="006D3672" w:rsidTr="008744D6">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1.2</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FF4282">
            <w:pPr>
              <w:keepNext/>
              <w:keepLines/>
              <w:spacing w:before="0"/>
              <w:contextualSpacing/>
              <w:jc w:val="left"/>
              <w:rPr>
                <w:rFonts w:eastAsia="Times New Roman" w:cstheme="minorHAnsi"/>
                <w:color w:val="000000"/>
                <w:sz w:val="18"/>
                <w:szCs w:val="18"/>
                <w:lang w:val="en-GB" w:eastAsia="en-GB"/>
              </w:rPr>
            </w:pPr>
            <w:r>
              <w:rPr>
                <w:rFonts w:eastAsia="Times New Roman" w:cstheme="minorHAnsi"/>
                <w:color w:val="000000"/>
                <w:sz w:val="18"/>
                <w:szCs w:val="18"/>
                <w:lang w:val="en-GB" w:eastAsia="en-GB"/>
              </w:rPr>
              <w:t>Short-sea shipping</w:t>
            </w:r>
          </w:p>
        </w:tc>
        <w:tc>
          <w:tcPr>
            <w:tcW w:w="5945" w:type="dxa"/>
            <w:gridSpan w:val="7"/>
            <w:tcBorders>
              <w:top w:val="nil"/>
              <w:left w:val="nil"/>
              <w:bottom w:val="single" w:sz="4" w:space="0" w:color="auto"/>
              <w:right w:val="single" w:sz="4" w:space="0" w:color="auto"/>
            </w:tcBorders>
            <w:shd w:val="clear" w:color="auto" w:fill="auto"/>
            <w:vAlign w:val="center"/>
          </w:tcPr>
          <w:p w:rsidR="006D3672" w:rsidRPr="00FF4282" w:rsidRDefault="006D3672" w:rsidP="006D3672">
            <w:pPr>
              <w:keepNext/>
              <w:keepLines/>
              <w:spacing w:before="0"/>
              <w:contextualSpacing/>
              <w:jc w:val="center"/>
              <w:rPr>
                <w:rFonts w:eastAsia="Times New Roman" w:cstheme="minorHAnsi"/>
                <w:color w:val="000000"/>
                <w:sz w:val="18"/>
                <w:szCs w:val="18"/>
                <w:lang w:val="en-GB" w:eastAsia="en-GB"/>
              </w:rPr>
            </w:pPr>
            <w:r w:rsidRPr="00FF4282">
              <w:rPr>
                <w:rFonts w:eastAsia="Times New Roman" w:cstheme="minorHAnsi"/>
                <w:color w:val="000000"/>
                <w:sz w:val="18"/>
                <w:szCs w:val="18"/>
                <w:lang w:val="en-GB" w:eastAsia="en-GB"/>
              </w:rPr>
              <w:t>47</w:t>
            </w:r>
          </w:p>
        </w:tc>
        <w:tc>
          <w:tcPr>
            <w:tcW w:w="2548" w:type="dxa"/>
            <w:gridSpan w:val="3"/>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38</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16</w:t>
            </w:r>
          </w:p>
        </w:tc>
      </w:tr>
      <w:tr w:rsidR="006D3672" w:rsidRPr="006D3672" w:rsidTr="007C2E30">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1.3</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Passenger ferry services</w:t>
            </w:r>
            <w:r>
              <w:rPr>
                <w:rStyle w:val="FootnoteReference"/>
                <w:rFonts w:eastAsia="Times New Roman" w:cstheme="minorHAnsi"/>
                <w:color w:val="000000"/>
                <w:sz w:val="18"/>
                <w:szCs w:val="18"/>
                <w:lang w:val="en-GB" w:eastAsia="en-GB"/>
              </w:rPr>
              <w:footnoteReference w:id="105"/>
            </w:r>
          </w:p>
        </w:tc>
        <w:tc>
          <w:tcPr>
            <w:tcW w:w="5945" w:type="dxa"/>
            <w:gridSpan w:val="7"/>
            <w:tcBorders>
              <w:top w:val="nil"/>
              <w:left w:val="nil"/>
              <w:bottom w:val="single" w:sz="4" w:space="0" w:color="auto"/>
              <w:right w:val="single" w:sz="4" w:space="0" w:color="auto"/>
            </w:tcBorders>
            <w:shd w:val="clear" w:color="auto" w:fill="auto"/>
          </w:tcPr>
          <w:p w:rsidR="006D3672" w:rsidRPr="00FF4282" w:rsidRDefault="006D3672" w:rsidP="00404E08">
            <w:pPr>
              <w:keepNext/>
              <w:keepLines/>
              <w:spacing w:before="0"/>
              <w:contextualSpacing/>
              <w:jc w:val="center"/>
              <w:rPr>
                <w:rFonts w:eastAsia="Times New Roman" w:cstheme="minorHAnsi"/>
                <w:color w:val="000000"/>
                <w:sz w:val="18"/>
                <w:szCs w:val="18"/>
                <w:lang w:val="en-GB" w:eastAsia="en-GB"/>
              </w:rPr>
            </w:pPr>
            <w:r w:rsidRPr="00FF4282">
              <w:rPr>
                <w:rFonts w:eastAsia="Times New Roman" w:cstheme="minorHAnsi"/>
                <w:color w:val="000000"/>
                <w:sz w:val="18"/>
                <w:szCs w:val="18"/>
                <w:lang w:val="en-GB" w:eastAsia="en-GB"/>
              </w:rPr>
              <w:t>19</w:t>
            </w:r>
          </w:p>
        </w:tc>
        <w:tc>
          <w:tcPr>
            <w:tcW w:w="2548" w:type="dxa"/>
            <w:gridSpan w:val="3"/>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30</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51</w:t>
            </w:r>
          </w:p>
        </w:tc>
      </w:tr>
      <w:tr w:rsidR="006D3672" w:rsidRPr="006D3672" w:rsidTr="007C2E30">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1.4</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Inland waterway transport</w:t>
            </w:r>
            <w:r>
              <w:rPr>
                <w:rStyle w:val="FootnoteReference"/>
                <w:rFonts w:eastAsia="Times New Roman" w:cstheme="minorHAnsi"/>
                <w:color w:val="000000"/>
                <w:sz w:val="18"/>
                <w:szCs w:val="18"/>
                <w:lang w:val="en-GB" w:eastAsia="en-GB"/>
              </w:rPr>
              <w:footnoteReference w:id="106"/>
            </w:r>
          </w:p>
        </w:tc>
        <w:tc>
          <w:tcPr>
            <w:tcW w:w="5945" w:type="dxa"/>
            <w:gridSpan w:val="7"/>
            <w:tcBorders>
              <w:top w:val="nil"/>
              <w:left w:val="nil"/>
              <w:bottom w:val="single" w:sz="4" w:space="0" w:color="auto"/>
              <w:right w:val="single" w:sz="4" w:space="0" w:color="auto"/>
            </w:tcBorders>
            <w:shd w:val="clear" w:color="auto" w:fill="auto"/>
          </w:tcPr>
          <w:p w:rsidR="006D3672" w:rsidRPr="00FF4282" w:rsidRDefault="006D3672" w:rsidP="00404E08">
            <w:pPr>
              <w:keepNext/>
              <w:keepLines/>
              <w:spacing w:before="0"/>
              <w:contextualSpacing/>
              <w:jc w:val="center"/>
              <w:rPr>
                <w:rFonts w:eastAsia="Times New Roman" w:cstheme="minorHAnsi"/>
                <w:color w:val="000000"/>
                <w:sz w:val="18"/>
                <w:szCs w:val="18"/>
                <w:lang w:val="en-GB" w:eastAsia="en-GB"/>
              </w:rPr>
            </w:pPr>
            <w:r w:rsidRPr="00FF4282">
              <w:rPr>
                <w:rFonts w:eastAsia="Times New Roman" w:cstheme="minorHAnsi"/>
                <w:color w:val="000000"/>
                <w:sz w:val="18"/>
                <w:szCs w:val="18"/>
                <w:lang w:val="en-GB" w:eastAsia="en-GB"/>
              </w:rPr>
              <w:t>5.7 (Seine/Oise basin)</w:t>
            </w:r>
          </w:p>
        </w:tc>
        <w:tc>
          <w:tcPr>
            <w:tcW w:w="2548" w:type="dxa"/>
            <w:gridSpan w:val="3"/>
            <w:tcBorders>
              <w:top w:val="single" w:sz="4" w:space="0" w:color="auto"/>
              <w:left w:val="single" w:sz="4" w:space="0" w:color="auto"/>
              <w:bottom w:val="single" w:sz="4" w:space="0" w:color="auto"/>
              <w:right w:val="single" w:sz="4" w:space="0" w:color="auto"/>
            </w:tcBorders>
          </w:tcPr>
          <w:p w:rsidR="006D3672" w:rsidRPr="006D3672" w:rsidRDefault="006D3672" w:rsidP="00FF4282">
            <w:pPr>
              <w:keepNext/>
              <w:keepLines/>
              <w:spacing w:before="0"/>
              <w:contextualSpacing/>
              <w:jc w:val="center"/>
              <w:rPr>
                <w:rFonts w:eastAsia="Times New Roman" w:cstheme="minorHAnsi"/>
                <w:color w:val="000000"/>
                <w:sz w:val="18"/>
                <w:szCs w:val="18"/>
                <w:lang w:val="en-GB" w:eastAsia="en-GB"/>
              </w:rPr>
            </w:pPr>
            <w:r w:rsidRPr="00FF4282">
              <w:rPr>
                <w:rFonts w:eastAsia="Times New Roman" w:cstheme="minorHAnsi"/>
                <w:color w:val="000000"/>
                <w:sz w:val="18"/>
                <w:szCs w:val="18"/>
                <w:lang w:val="en-GB" w:eastAsia="en-GB"/>
              </w:rPr>
              <w:t>2.1 (Rhône/</w:t>
            </w:r>
            <w:r w:rsidRPr="006D3672">
              <w:rPr>
                <w:rFonts w:eastAsia="Times New Roman" w:cstheme="minorHAnsi"/>
                <w:color w:val="000000"/>
                <w:sz w:val="18"/>
                <w:szCs w:val="18"/>
                <w:lang w:val="en-GB" w:eastAsia="en-GB"/>
              </w:rPr>
              <w:t>Saône basin)</w:t>
            </w:r>
          </w:p>
        </w:tc>
        <w:tc>
          <w:tcPr>
            <w:tcW w:w="849" w:type="dxa"/>
            <w:tcBorders>
              <w:top w:val="single" w:sz="4" w:space="0" w:color="auto"/>
              <w:left w:val="single" w:sz="4" w:space="0" w:color="auto"/>
              <w:bottom w:val="single" w:sz="4" w:space="0" w:color="auto"/>
              <w:right w:val="single" w:sz="4" w:space="0" w:color="auto"/>
            </w:tcBorders>
          </w:tcPr>
          <w:p w:rsidR="006D3672" w:rsidRPr="00FF428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92.2</w:t>
            </w:r>
            <w:r w:rsidRPr="00FF4282">
              <w:rPr>
                <w:rStyle w:val="FootnoteReference"/>
                <w:rFonts w:eastAsia="Times New Roman" w:cstheme="minorHAnsi"/>
                <w:color w:val="000000"/>
                <w:sz w:val="18"/>
                <w:szCs w:val="18"/>
                <w:lang w:val="en-GB" w:eastAsia="en-GB"/>
              </w:rPr>
              <w:footnoteReference w:id="107"/>
            </w:r>
          </w:p>
        </w:tc>
      </w:tr>
      <w:tr w:rsidR="006D3672" w:rsidRPr="00EC0540" w:rsidTr="00A472D7">
        <w:trPr>
          <w:trHeight w:val="20"/>
        </w:trPr>
        <w:tc>
          <w:tcPr>
            <w:tcW w:w="744" w:type="dxa"/>
            <w:tcBorders>
              <w:top w:val="single" w:sz="4" w:space="0" w:color="auto"/>
              <w:left w:val="single" w:sz="4" w:space="0" w:color="auto"/>
              <w:bottom w:val="single" w:sz="4" w:space="0" w:color="auto"/>
              <w:right w:val="single" w:sz="4" w:space="0" w:color="auto"/>
            </w:tcBorders>
            <w:shd w:val="clear" w:color="auto" w:fill="0070C0"/>
            <w:vAlign w:val="center"/>
          </w:tcPr>
          <w:p w:rsidR="006D3672" w:rsidRPr="006D3672" w:rsidRDefault="006D3672" w:rsidP="006D3672">
            <w:pPr>
              <w:keepNext/>
              <w:keepLines/>
              <w:spacing w:before="0"/>
              <w:contextualSpacing/>
              <w:jc w:val="right"/>
              <w:rPr>
                <w:rFonts w:eastAsia="Times New Roman" w:cstheme="minorHAnsi"/>
                <w:b/>
                <w:color w:val="FFFFFF" w:themeColor="background1"/>
                <w:sz w:val="18"/>
                <w:szCs w:val="18"/>
                <w:lang w:val="en-GB" w:eastAsia="en-GB"/>
              </w:rPr>
            </w:pPr>
            <w:r w:rsidRPr="006D3672">
              <w:rPr>
                <w:rFonts w:eastAsia="Times New Roman" w:cstheme="minorHAnsi"/>
                <w:b/>
                <w:color w:val="FFFFFF" w:themeColor="background1"/>
                <w:sz w:val="18"/>
                <w:szCs w:val="18"/>
                <w:lang w:val="en-GB" w:eastAsia="en-GB"/>
              </w:rPr>
              <w:t>2.</w:t>
            </w:r>
          </w:p>
        </w:tc>
        <w:tc>
          <w:tcPr>
            <w:tcW w:w="849"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left"/>
              <w:rPr>
                <w:rFonts w:eastAsia="Times New Roman" w:cstheme="minorHAnsi"/>
                <w:b/>
                <w:color w:val="FFFFFF" w:themeColor="background1"/>
                <w:sz w:val="18"/>
                <w:szCs w:val="18"/>
                <w:lang w:val="en-GB" w:eastAsia="en-GB"/>
              </w:rPr>
            </w:pPr>
          </w:p>
        </w:tc>
        <w:tc>
          <w:tcPr>
            <w:tcW w:w="4446" w:type="dxa"/>
            <w:gridSpan w:val="5"/>
            <w:tcBorders>
              <w:top w:val="single" w:sz="4" w:space="0" w:color="auto"/>
              <w:left w:val="single" w:sz="4" w:space="0" w:color="auto"/>
              <w:bottom w:val="single" w:sz="4" w:space="0" w:color="auto"/>
              <w:right w:val="single" w:sz="4" w:space="0" w:color="auto"/>
            </w:tcBorders>
            <w:shd w:val="clear" w:color="auto" w:fill="0070C0"/>
            <w:vAlign w:val="center"/>
          </w:tcPr>
          <w:p w:rsidR="006D3672" w:rsidRPr="00FF4282" w:rsidRDefault="006D3672" w:rsidP="006D3672">
            <w:pPr>
              <w:keepNext/>
              <w:keepLines/>
              <w:spacing w:before="0"/>
              <w:contextualSpacing/>
              <w:jc w:val="left"/>
              <w:rPr>
                <w:rFonts w:eastAsia="Times New Roman" w:cstheme="minorHAnsi"/>
                <w:b/>
                <w:color w:val="FFFFFF" w:themeColor="background1"/>
                <w:sz w:val="18"/>
                <w:szCs w:val="18"/>
                <w:lang w:val="en-GB" w:eastAsia="en-GB"/>
              </w:rPr>
            </w:pPr>
            <w:r w:rsidRPr="00FF4282">
              <w:rPr>
                <w:rFonts w:eastAsia="Times New Roman" w:cstheme="minorHAnsi"/>
                <w:b/>
                <w:color w:val="FFFFFF" w:themeColor="background1"/>
                <w:sz w:val="18"/>
                <w:szCs w:val="18"/>
                <w:lang w:val="en-GB" w:eastAsia="en-GB"/>
              </w:rPr>
              <w:t>Food, nutrition, health and eco-system services</w:t>
            </w:r>
          </w:p>
        </w:tc>
        <w:tc>
          <w:tcPr>
            <w:tcW w:w="849"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r>
      <w:tr w:rsidR="006D3672" w:rsidRPr="006D3672" w:rsidTr="007C2E30">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 xml:space="preserve">2.1 </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Catching fish for human consumption</w:t>
            </w:r>
            <w:r>
              <w:rPr>
                <w:rStyle w:val="FootnoteReference"/>
                <w:rFonts w:eastAsia="Times New Roman" w:cstheme="minorHAnsi"/>
                <w:color w:val="000000"/>
                <w:sz w:val="18"/>
                <w:szCs w:val="18"/>
                <w:lang w:val="en-GB" w:eastAsia="en-GB"/>
              </w:rPr>
              <w:footnoteReference w:id="108"/>
            </w:r>
          </w:p>
        </w:tc>
        <w:tc>
          <w:tcPr>
            <w:tcW w:w="849" w:type="dxa"/>
            <w:tcBorders>
              <w:top w:val="nil"/>
              <w:left w:val="nil"/>
              <w:bottom w:val="single" w:sz="4" w:space="0" w:color="auto"/>
              <w:right w:val="single" w:sz="4" w:space="0" w:color="auto"/>
            </w:tcBorders>
            <w:shd w:val="clear" w:color="auto" w:fill="auto"/>
          </w:tcPr>
          <w:p w:rsidR="006D3672" w:rsidRPr="00FF4282" w:rsidRDefault="006D3672" w:rsidP="00404E08">
            <w:pPr>
              <w:keepNext/>
              <w:keepLines/>
              <w:spacing w:before="0"/>
              <w:contextualSpacing/>
              <w:jc w:val="center"/>
              <w:rPr>
                <w:rFonts w:eastAsia="Times New Roman" w:cstheme="minorHAnsi"/>
                <w:color w:val="000000"/>
                <w:sz w:val="18"/>
                <w:szCs w:val="18"/>
                <w:lang w:val="en-GB" w:eastAsia="en-GB"/>
              </w:rPr>
            </w:pPr>
            <w:r w:rsidRPr="00FF4282">
              <w:rPr>
                <w:rFonts w:eastAsia="Times New Roman" w:cstheme="minorHAnsi"/>
                <w:color w:val="000000"/>
                <w:sz w:val="18"/>
                <w:szCs w:val="18"/>
                <w:lang w:val="en-GB" w:eastAsia="en-GB"/>
              </w:rPr>
              <w:t>5.4</w:t>
            </w:r>
          </w:p>
        </w:tc>
        <w:tc>
          <w:tcPr>
            <w:tcW w:w="849" w:type="dxa"/>
            <w:tcBorders>
              <w:top w:val="single" w:sz="4" w:space="0" w:color="auto"/>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11</w:t>
            </w:r>
          </w:p>
        </w:tc>
        <w:tc>
          <w:tcPr>
            <w:tcW w:w="849" w:type="dxa"/>
            <w:tcBorders>
              <w:top w:val="single" w:sz="4" w:space="0" w:color="auto"/>
              <w:left w:val="single" w:sz="4" w:space="0" w:color="auto"/>
              <w:bottom w:val="single" w:sz="4" w:space="0" w:color="auto"/>
              <w:right w:val="single" w:sz="4" w:space="0" w:color="auto"/>
            </w:tcBorders>
          </w:tcPr>
          <w:p w:rsidR="006D3672" w:rsidRPr="00FF428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5.5</w:t>
            </w:r>
            <w:r w:rsidRPr="00FF4282">
              <w:rPr>
                <w:rStyle w:val="FootnoteReference"/>
                <w:rFonts w:eastAsia="Times New Roman" w:cstheme="minorHAnsi"/>
                <w:color w:val="000000"/>
                <w:sz w:val="18"/>
                <w:szCs w:val="18"/>
                <w:lang w:val="en-GB" w:eastAsia="en-GB"/>
              </w:rPr>
              <w:footnoteReference w:id="109"/>
            </w:r>
          </w:p>
        </w:tc>
        <w:tc>
          <w:tcPr>
            <w:tcW w:w="850" w:type="dxa"/>
            <w:tcBorders>
              <w:top w:val="nil"/>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9</w:t>
            </w:r>
          </w:p>
        </w:tc>
        <w:tc>
          <w:tcPr>
            <w:tcW w:w="849" w:type="dxa"/>
            <w:tcBorders>
              <w:top w:val="nil"/>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34.8</w:t>
            </w:r>
          </w:p>
        </w:tc>
        <w:tc>
          <w:tcPr>
            <w:tcW w:w="849" w:type="dxa"/>
            <w:tcBorders>
              <w:top w:val="nil"/>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12.2</w:t>
            </w:r>
          </w:p>
        </w:tc>
        <w:tc>
          <w:tcPr>
            <w:tcW w:w="850" w:type="dxa"/>
            <w:tcBorders>
              <w:top w:val="single" w:sz="4" w:space="0" w:color="auto"/>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11.9</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8.6</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5.3</w:t>
            </w:r>
          </w:p>
        </w:tc>
        <w:tc>
          <w:tcPr>
            <w:tcW w:w="850"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1.5</w:t>
            </w:r>
          </w:p>
        </w:tc>
        <w:tc>
          <w:tcPr>
            <w:tcW w:w="849" w:type="dxa"/>
            <w:tcBorders>
              <w:top w:val="single" w:sz="4" w:space="0" w:color="auto"/>
              <w:left w:val="single" w:sz="4" w:space="0" w:color="auto"/>
              <w:bottom w:val="single" w:sz="4" w:space="0" w:color="auto"/>
              <w:right w:val="single" w:sz="4" w:space="0" w:color="auto"/>
            </w:tcBorders>
          </w:tcPr>
          <w:p w:rsidR="006D3672" w:rsidRPr="00FF428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5.5</w:t>
            </w:r>
            <w:r w:rsidRPr="00FF4282">
              <w:rPr>
                <w:rStyle w:val="FootnoteReference"/>
                <w:rFonts w:eastAsia="Times New Roman" w:cstheme="minorHAnsi"/>
                <w:color w:val="000000"/>
                <w:sz w:val="18"/>
                <w:szCs w:val="18"/>
                <w:lang w:val="en-GB" w:eastAsia="en-GB"/>
              </w:rPr>
              <w:footnoteReference w:id="110"/>
            </w:r>
          </w:p>
        </w:tc>
      </w:tr>
      <w:tr w:rsidR="006D3672" w:rsidRPr="006D3672" w:rsidTr="007C2E30">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2.3</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Marine aquatic products</w:t>
            </w:r>
            <w:r>
              <w:rPr>
                <w:rStyle w:val="FootnoteReference"/>
                <w:rFonts w:eastAsia="Times New Roman" w:cstheme="minorHAnsi"/>
                <w:color w:val="000000"/>
                <w:sz w:val="18"/>
                <w:szCs w:val="18"/>
                <w:lang w:val="en-GB" w:eastAsia="en-GB"/>
              </w:rPr>
              <w:footnoteReference w:id="111"/>
            </w:r>
          </w:p>
        </w:tc>
        <w:tc>
          <w:tcPr>
            <w:tcW w:w="849" w:type="dxa"/>
            <w:tcBorders>
              <w:top w:val="nil"/>
              <w:left w:val="nil"/>
              <w:bottom w:val="single" w:sz="4" w:space="0" w:color="auto"/>
              <w:right w:val="single" w:sz="4" w:space="0" w:color="auto"/>
            </w:tcBorders>
            <w:shd w:val="clear" w:color="auto" w:fill="auto"/>
          </w:tcPr>
          <w:p w:rsidR="006D3672" w:rsidRPr="00FF4282" w:rsidRDefault="006D3672" w:rsidP="00404E08">
            <w:pPr>
              <w:keepNext/>
              <w:keepLines/>
              <w:spacing w:before="0"/>
              <w:contextualSpacing/>
              <w:jc w:val="center"/>
              <w:rPr>
                <w:rFonts w:eastAsia="Times New Roman" w:cstheme="minorHAnsi"/>
                <w:color w:val="000000"/>
                <w:sz w:val="18"/>
                <w:szCs w:val="18"/>
                <w:lang w:val="en-GB" w:eastAsia="en-GB"/>
              </w:rPr>
            </w:pPr>
            <w:r w:rsidRPr="00FF4282">
              <w:rPr>
                <w:rFonts w:eastAsia="Times New Roman" w:cstheme="minorHAnsi"/>
                <w:color w:val="000000"/>
                <w:sz w:val="18"/>
                <w:szCs w:val="18"/>
                <w:lang w:val="en-GB" w:eastAsia="en-GB"/>
              </w:rPr>
              <w:t>14.9</w:t>
            </w:r>
          </w:p>
        </w:tc>
        <w:tc>
          <w:tcPr>
            <w:tcW w:w="849" w:type="dxa"/>
            <w:tcBorders>
              <w:top w:val="single" w:sz="4" w:space="0" w:color="auto"/>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50" w:type="dxa"/>
            <w:tcBorders>
              <w:top w:val="nil"/>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9.5</w:t>
            </w:r>
          </w:p>
        </w:tc>
        <w:tc>
          <w:tcPr>
            <w:tcW w:w="849" w:type="dxa"/>
            <w:tcBorders>
              <w:top w:val="nil"/>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26</w:t>
            </w:r>
          </w:p>
        </w:tc>
        <w:tc>
          <w:tcPr>
            <w:tcW w:w="849" w:type="dxa"/>
            <w:tcBorders>
              <w:top w:val="nil"/>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37</w:t>
            </w:r>
          </w:p>
        </w:tc>
        <w:tc>
          <w:tcPr>
            <w:tcW w:w="850" w:type="dxa"/>
            <w:tcBorders>
              <w:top w:val="single" w:sz="4" w:space="0" w:color="auto"/>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5.7</w:t>
            </w:r>
          </w:p>
        </w:tc>
        <w:tc>
          <w:tcPr>
            <w:tcW w:w="2548" w:type="dxa"/>
            <w:gridSpan w:val="3"/>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6.9</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r>
      <w:tr w:rsidR="006D3672" w:rsidRPr="006D3672" w:rsidTr="007C2E30">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2.5</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Agriculture on saline soils</w:t>
            </w:r>
            <w:r>
              <w:rPr>
                <w:rStyle w:val="FootnoteReference"/>
                <w:rFonts w:eastAsia="Times New Roman" w:cstheme="minorHAnsi"/>
                <w:color w:val="000000"/>
                <w:sz w:val="18"/>
                <w:szCs w:val="18"/>
                <w:lang w:val="en-GB" w:eastAsia="en-GB"/>
              </w:rPr>
              <w:footnoteReference w:id="112"/>
            </w:r>
          </w:p>
        </w:tc>
        <w:tc>
          <w:tcPr>
            <w:tcW w:w="849" w:type="dxa"/>
            <w:tcBorders>
              <w:top w:val="nil"/>
              <w:left w:val="nil"/>
              <w:bottom w:val="single" w:sz="4" w:space="0" w:color="auto"/>
              <w:right w:val="single" w:sz="4" w:space="0" w:color="auto"/>
            </w:tcBorders>
            <w:shd w:val="clear" w:color="auto" w:fill="auto"/>
          </w:tcPr>
          <w:p w:rsidR="006D3672" w:rsidRPr="006D3672" w:rsidRDefault="006D3672" w:rsidP="00404E08">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3</w:t>
            </w:r>
          </w:p>
        </w:tc>
        <w:tc>
          <w:tcPr>
            <w:tcW w:w="849" w:type="dxa"/>
            <w:tcBorders>
              <w:top w:val="single" w:sz="4" w:space="0" w:color="auto"/>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4</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50" w:type="dxa"/>
            <w:tcBorders>
              <w:top w:val="nil"/>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27</w:t>
            </w:r>
          </w:p>
        </w:tc>
        <w:tc>
          <w:tcPr>
            <w:tcW w:w="849" w:type="dxa"/>
            <w:tcBorders>
              <w:top w:val="nil"/>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7</w:t>
            </w:r>
          </w:p>
        </w:tc>
        <w:tc>
          <w:tcPr>
            <w:tcW w:w="849" w:type="dxa"/>
            <w:tcBorders>
              <w:top w:val="nil"/>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21</w:t>
            </w:r>
          </w:p>
        </w:tc>
        <w:tc>
          <w:tcPr>
            <w:tcW w:w="850" w:type="dxa"/>
            <w:tcBorders>
              <w:top w:val="single" w:sz="4" w:space="0" w:color="auto"/>
              <w:left w:val="nil"/>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5</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18</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8</w:t>
            </w:r>
          </w:p>
        </w:tc>
        <w:tc>
          <w:tcPr>
            <w:tcW w:w="850"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6</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r>
      <w:tr w:rsidR="006D3672" w:rsidRPr="006D3672" w:rsidTr="00A472D7">
        <w:trPr>
          <w:trHeight w:val="20"/>
        </w:trPr>
        <w:tc>
          <w:tcPr>
            <w:tcW w:w="744" w:type="dxa"/>
            <w:tcBorders>
              <w:top w:val="single" w:sz="4" w:space="0" w:color="auto"/>
              <w:left w:val="single" w:sz="4" w:space="0" w:color="auto"/>
              <w:bottom w:val="single" w:sz="4" w:space="0" w:color="auto"/>
              <w:right w:val="single" w:sz="4" w:space="0" w:color="auto"/>
            </w:tcBorders>
            <w:shd w:val="clear" w:color="auto" w:fill="0070C0"/>
            <w:vAlign w:val="center"/>
          </w:tcPr>
          <w:p w:rsidR="006D3672" w:rsidRPr="006D3672" w:rsidRDefault="006D3672" w:rsidP="006D3672">
            <w:pPr>
              <w:keepNext/>
              <w:keepLines/>
              <w:spacing w:before="0"/>
              <w:contextualSpacing/>
              <w:jc w:val="right"/>
              <w:rPr>
                <w:rFonts w:eastAsia="Times New Roman" w:cstheme="minorHAnsi"/>
                <w:b/>
                <w:color w:val="FFFFFF" w:themeColor="background1"/>
                <w:sz w:val="18"/>
                <w:szCs w:val="18"/>
                <w:lang w:val="en-GB" w:eastAsia="en-GB"/>
              </w:rPr>
            </w:pPr>
            <w:r w:rsidRPr="006D3672">
              <w:rPr>
                <w:rFonts w:eastAsia="Times New Roman" w:cstheme="minorHAnsi"/>
                <w:b/>
                <w:color w:val="FFFFFF" w:themeColor="background1"/>
                <w:sz w:val="18"/>
                <w:szCs w:val="18"/>
                <w:lang w:val="en-GB" w:eastAsia="en-GB"/>
              </w:rPr>
              <w:lastRenderedPageBreak/>
              <w:t>3.</w:t>
            </w: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left"/>
              <w:rPr>
                <w:rFonts w:eastAsia="Times New Roman" w:cstheme="minorHAnsi"/>
                <w:b/>
                <w:color w:val="FFFFFF" w:themeColor="background1"/>
                <w:sz w:val="18"/>
                <w:szCs w:val="18"/>
                <w:lang w:val="en-GB" w:eastAsia="en-GB"/>
              </w:rPr>
            </w:pPr>
          </w:p>
        </w:tc>
        <w:tc>
          <w:tcPr>
            <w:tcW w:w="5295"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rsidR="006D3672" w:rsidRPr="006D3672" w:rsidRDefault="006D3672" w:rsidP="006D3672">
            <w:pPr>
              <w:keepNext/>
              <w:keepLines/>
              <w:spacing w:before="0"/>
              <w:contextualSpacing/>
              <w:jc w:val="left"/>
              <w:rPr>
                <w:rFonts w:eastAsia="Times New Roman" w:cstheme="minorHAnsi"/>
                <w:b/>
                <w:color w:val="FFFFFF" w:themeColor="background1"/>
                <w:sz w:val="18"/>
                <w:szCs w:val="18"/>
                <w:lang w:val="en-GB" w:eastAsia="en-GB"/>
              </w:rPr>
            </w:pPr>
            <w:r w:rsidRPr="006D3672">
              <w:rPr>
                <w:rFonts w:eastAsia="Times New Roman" w:cstheme="minorHAnsi"/>
                <w:b/>
                <w:color w:val="FFFFFF" w:themeColor="background1"/>
                <w:sz w:val="18"/>
                <w:szCs w:val="18"/>
                <w:lang w:val="en-GB" w:eastAsia="en-GB"/>
              </w:rPr>
              <w:t>Energy and raw materials</w:t>
            </w: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r>
      <w:tr w:rsidR="006D3672" w:rsidRPr="006D3672" w:rsidTr="00A472D7">
        <w:trPr>
          <w:trHeight w:val="20"/>
        </w:trPr>
        <w:tc>
          <w:tcPr>
            <w:tcW w:w="7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3.3</w:t>
            </w:r>
          </w:p>
        </w:tc>
        <w:tc>
          <w:tcPr>
            <w:tcW w:w="189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Ocean renewable energy</w:t>
            </w:r>
            <w:r>
              <w:rPr>
                <w:rStyle w:val="FootnoteReference"/>
                <w:rFonts w:eastAsia="Times New Roman" w:cstheme="minorHAnsi"/>
                <w:color w:val="000000"/>
                <w:sz w:val="18"/>
                <w:szCs w:val="18"/>
                <w:lang w:val="en-GB" w:eastAsia="en-GB"/>
              </w:rPr>
              <w:footnoteReference w:id="113"/>
            </w:r>
          </w:p>
        </w:tc>
        <w:tc>
          <w:tcPr>
            <w:tcW w:w="849" w:type="dxa"/>
            <w:tcBorders>
              <w:top w:val="single" w:sz="8" w:space="0" w:color="auto"/>
              <w:left w:val="single" w:sz="8" w:space="0" w:color="auto"/>
              <w:bottom w:val="single" w:sz="8" w:space="0" w:color="auto"/>
              <w:right w:val="single" w:sz="4" w:space="0" w:color="auto"/>
            </w:tcBorders>
            <w:shd w:val="clear" w:color="auto" w:fill="auto"/>
            <w:vAlign w:val="center"/>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50" w:type="dxa"/>
            <w:tcBorders>
              <w:top w:val="single" w:sz="8" w:space="0" w:color="auto"/>
              <w:left w:val="single" w:sz="4" w:space="0" w:color="auto"/>
              <w:bottom w:val="single" w:sz="8" w:space="0" w:color="auto"/>
              <w:right w:val="single" w:sz="8"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49" w:type="dxa"/>
            <w:tcBorders>
              <w:top w:val="single" w:sz="8" w:space="0" w:color="auto"/>
              <w:left w:val="single" w:sz="8" w:space="0" w:color="auto"/>
              <w:bottom w:val="single" w:sz="8" w:space="0" w:color="auto"/>
              <w:right w:val="single" w:sz="8"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100</w:t>
            </w:r>
          </w:p>
        </w:tc>
        <w:tc>
          <w:tcPr>
            <w:tcW w:w="849" w:type="dxa"/>
            <w:tcBorders>
              <w:top w:val="single" w:sz="8" w:space="0" w:color="auto"/>
              <w:left w:val="single" w:sz="8" w:space="0" w:color="auto"/>
              <w:bottom w:val="single" w:sz="8" w:space="0" w:color="auto"/>
              <w:right w:val="single" w:sz="8"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50" w:type="dxa"/>
            <w:tcBorders>
              <w:top w:val="single" w:sz="4" w:space="0" w:color="auto"/>
              <w:left w:val="single" w:sz="8"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r>
      <w:tr w:rsidR="006D3672" w:rsidRPr="006D3672" w:rsidTr="008744D6">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3.5</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Aggregates mining (sand, gravel, etc.)</w:t>
            </w:r>
            <w:r>
              <w:rPr>
                <w:rStyle w:val="FootnoteReference"/>
                <w:rFonts w:eastAsia="Times New Roman" w:cstheme="minorHAnsi"/>
                <w:color w:val="000000"/>
                <w:sz w:val="18"/>
                <w:szCs w:val="18"/>
                <w:lang w:val="en-GB" w:eastAsia="en-GB"/>
              </w:rPr>
              <w:footnoteReference w:id="114"/>
            </w:r>
          </w:p>
        </w:tc>
        <w:tc>
          <w:tcPr>
            <w:tcW w:w="5945" w:type="dxa"/>
            <w:gridSpan w:val="7"/>
            <w:tcBorders>
              <w:top w:val="nil"/>
              <w:left w:val="nil"/>
              <w:bottom w:val="single" w:sz="4" w:space="0" w:color="auto"/>
              <w:right w:val="single" w:sz="4" w:space="0" w:color="auto"/>
            </w:tcBorders>
            <w:shd w:val="clear" w:color="auto" w:fill="auto"/>
            <w:vAlign w:val="center"/>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100</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r>
      <w:tr w:rsidR="006D3672" w:rsidRPr="006D3672" w:rsidTr="00A472D7">
        <w:trPr>
          <w:trHeight w:val="20"/>
        </w:trPr>
        <w:tc>
          <w:tcPr>
            <w:tcW w:w="744" w:type="dxa"/>
            <w:tcBorders>
              <w:top w:val="single" w:sz="4" w:space="0" w:color="auto"/>
              <w:left w:val="single" w:sz="4" w:space="0" w:color="auto"/>
              <w:bottom w:val="single" w:sz="4" w:space="0" w:color="auto"/>
              <w:right w:val="single" w:sz="4" w:space="0" w:color="auto"/>
            </w:tcBorders>
            <w:shd w:val="clear" w:color="auto" w:fill="0070C0"/>
            <w:vAlign w:val="center"/>
          </w:tcPr>
          <w:p w:rsidR="006D3672" w:rsidRPr="006D3672" w:rsidRDefault="006D3672" w:rsidP="006D3672">
            <w:pPr>
              <w:keepNext/>
              <w:keepLines/>
              <w:spacing w:before="0"/>
              <w:contextualSpacing/>
              <w:jc w:val="right"/>
              <w:rPr>
                <w:rFonts w:eastAsia="Times New Roman" w:cstheme="minorHAnsi"/>
                <w:b/>
                <w:color w:val="FFFFFF" w:themeColor="background1"/>
                <w:sz w:val="18"/>
                <w:szCs w:val="18"/>
                <w:lang w:val="en-GB" w:eastAsia="en-GB"/>
              </w:rPr>
            </w:pPr>
            <w:r w:rsidRPr="006D3672">
              <w:rPr>
                <w:rFonts w:eastAsia="Times New Roman" w:cstheme="minorHAnsi"/>
                <w:b/>
                <w:color w:val="FFFFFF" w:themeColor="background1"/>
                <w:sz w:val="18"/>
                <w:szCs w:val="18"/>
                <w:lang w:val="en-GB" w:eastAsia="en-GB"/>
              </w:rPr>
              <w:t>4.</w:t>
            </w:r>
          </w:p>
        </w:tc>
        <w:tc>
          <w:tcPr>
            <w:tcW w:w="849"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left"/>
              <w:rPr>
                <w:rFonts w:eastAsia="Times New Roman" w:cstheme="minorHAnsi"/>
                <w:b/>
                <w:color w:val="FFFFFF" w:themeColor="background1"/>
                <w:sz w:val="18"/>
                <w:szCs w:val="18"/>
                <w:lang w:val="en-GB" w:eastAsia="en-GB"/>
              </w:rPr>
            </w:pPr>
          </w:p>
        </w:tc>
        <w:tc>
          <w:tcPr>
            <w:tcW w:w="5295"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rsidR="006D3672" w:rsidRPr="006D3672" w:rsidRDefault="006D3672" w:rsidP="006D3672">
            <w:pPr>
              <w:keepNext/>
              <w:keepLines/>
              <w:spacing w:before="0"/>
              <w:contextualSpacing/>
              <w:jc w:val="left"/>
              <w:rPr>
                <w:rFonts w:eastAsia="Times New Roman" w:cstheme="minorHAnsi"/>
                <w:b/>
                <w:color w:val="FFFFFF" w:themeColor="background1"/>
                <w:sz w:val="18"/>
                <w:szCs w:val="18"/>
                <w:lang w:val="en-GB" w:eastAsia="en-GB"/>
              </w:rPr>
            </w:pPr>
            <w:r w:rsidRPr="006D3672">
              <w:rPr>
                <w:rFonts w:eastAsia="Times New Roman" w:cstheme="minorHAnsi"/>
                <w:b/>
                <w:color w:val="FFFFFF" w:themeColor="background1"/>
                <w:sz w:val="18"/>
                <w:szCs w:val="18"/>
                <w:lang w:val="en-GB" w:eastAsia="en-GB"/>
              </w:rPr>
              <w:t>Leisure, working and living</w:t>
            </w:r>
          </w:p>
        </w:tc>
        <w:tc>
          <w:tcPr>
            <w:tcW w:w="849"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0070C0"/>
          </w:tcPr>
          <w:p w:rsidR="006D3672" w:rsidRPr="006D3672" w:rsidRDefault="006D3672" w:rsidP="006D3672">
            <w:pPr>
              <w:keepNext/>
              <w:keepLines/>
              <w:spacing w:before="0"/>
              <w:contextualSpacing/>
              <w:jc w:val="center"/>
              <w:rPr>
                <w:rFonts w:eastAsia="Times New Roman" w:cstheme="minorHAnsi"/>
                <w:b/>
                <w:color w:val="FFFFFF" w:themeColor="background1"/>
                <w:sz w:val="18"/>
                <w:szCs w:val="18"/>
                <w:lang w:val="en-GB" w:eastAsia="en-GB"/>
              </w:rPr>
            </w:pPr>
          </w:p>
        </w:tc>
      </w:tr>
      <w:tr w:rsidR="006D3672" w:rsidRPr="006D3672" w:rsidTr="008744D6">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 xml:space="preserve">4.1 </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Coastal tourism</w:t>
            </w:r>
            <w:r>
              <w:rPr>
                <w:rStyle w:val="FootnoteReference"/>
                <w:rFonts w:eastAsia="Times New Roman" w:cstheme="minorHAnsi"/>
                <w:color w:val="000000"/>
                <w:sz w:val="18"/>
                <w:szCs w:val="18"/>
                <w:lang w:val="en-GB" w:eastAsia="en-GB"/>
              </w:rPr>
              <w:footnoteReference w:id="115"/>
            </w:r>
          </w:p>
        </w:tc>
        <w:tc>
          <w:tcPr>
            <w:tcW w:w="5945" w:type="dxa"/>
            <w:gridSpan w:val="7"/>
            <w:tcBorders>
              <w:top w:val="nil"/>
              <w:left w:val="nil"/>
              <w:bottom w:val="single" w:sz="4" w:space="0" w:color="auto"/>
              <w:right w:val="single" w:sz="4" w:space="0" w:color="auto"/>
            </w:tcBorders>
            <w:shd w:val="clear" w:color="auto" w:fill="auto"/>
            <w:vAlign w:val="center"/>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49</w:t>
            </w:r>
          </w:p>
        </w:tc>
        <w:tc>
          <w:tcPr>
            <w:tcW w:w="2548" w:type="dxa"/>
            <w:gridSpan w:val="3"/>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43</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8</w:t>
            </w:r>
          </w:p>
        </w:tc>
      </w:tr>
      <w:tr w:rsidR="006D3672" w:rsidRPr="006D3672" w:rsidTr="008744D6">
        <w:trPr>
          <w:trHeight w:val="2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4.2</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Pr>
                <w:rFonts w:eastAsia="Times New Roman" w:cstheme="minorHAnsi"/>
                <w:color w:val="000000"/>
                <w:sz w:val="18"/>
                <w:szCs w:val="18"/>
                <w:lang w:val="en-GB" w:eastAsia="en-GB"/>
              </w:rPr>
              <w:t>Marinas</w:t>
            </w:r>
            <w:r>
              <w:rPr>
                <w:rStyle w:val="FootnoteReference"/>
                <w:rFonts w:eastAsia="Times New Roman" w:cstheme="minorHAnsi"/>
                <w:color w:val="000000"/>
                <w:sz w:val="18"/>
                <w:szCs w:val="18"/>
                <w:lang w:val="en-GB" w:eastAsia="en-GB"/>
              </w:rPr>
              <w:footnoteReference w:id="116"/>
            </w:r>
          </w:p>
        </w:tc>
        <w:tc>
          <w:tcPr>
            <w:tcW w:w="5945" w:type="dxa"/>
            <w:gridSpan w:val="7"/>
            <w:tcBorders>
              <w:top w:val="nil"/>
              <w:left w:val="nil"/>
              <w:bottom w:val="single" w:sz="4" w:space="0" w:color="auto"/>
              <w:right w:val="single" w:sz="4" w:space="0" w:color="auto"/>
            </w:tcBorders>
            <w:shd w:val="clear" w:color="auto" w:fill="auto"/>
            <w:vAlign w:val="center"/>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51</w:t>
            </w:r>
          </w:p>
        </w:tc>
        <w:tc>
          <w:tcPr>
            <w:tcW w:w="2548" w:type="dxa"/>
            <w:gridSpan w:val="3"/>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37</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12</w:t>
            </w:r>
          </w:p>
        </w:tc>
      </w:tr>
      <w:tr w:rsidR="006D3672" w:rsidRPr="006D3672" w:rsidTr="008744D6">
        <w:trPr>
          <w:trHeight w:val="344"/>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righ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4.3</w:t>
            </w:r>
          </w:p>
        </w:tc>
        <w:tc>
          <w:tcPr>
            <w:tcW w:w="1898" w:type="dxa"/>
            <w:gridSpan w:val="2"/>
            <w:tcBorders>
              <w:top w:val="nil"/>
              <w:left w:val="nil"/>
              <w:bottom w:val="single" w:sz="4" w:space="0" w:color="auto"/>
              <w:right w:val="single" w:sz="4" w:space="0" w:color="auto"/>
            </w:tcBorders>
            <w:shd w:val="clear" w:color="auto" w:fill="auto"/>
            <w:vAlign w:val="center"/>
            <w:hideMark/>
          </w:tcPr>
          <w:p w:rsidR="006D3672" w:rsidRPr="006D3672" w:rsidRDefault="006D3672" w:rsidP="006D3672">
            <w:pPr>
              <w:keepNext/>
              <w:keepLines/>
              <w:spacing w:before="0"/>
              <w:contextualSpacing/>
              <w:jc w:val="left"/>
              <w:rPr>
                <w:rFonts w:eastAsia="Times New Roman" w:cstheme="minorHAnsi"/>
                <w:color w:val="000000"/>
                <w:sz w:val="18"/>
                <w:szCs w:val="18"/>
                <w:lang w:val="en-GB" w:eastAsia="en-GB"/>
              </w:rPr>
            </w:pPr>
            <w:r w:rsidRPr="006D3672">
              <w:rPr>
                <w:rFonts w:eastAsia="Times New Roman" w:cstheme="minorHAnsi"/>
                <w:color w:val="000000"/>
                <w:sz w:val="18"/>
                <w:szCs w:val="18"/>
                <w:lang w:val="en-GB" w:eastAsia="en-GB"/>
              </w:rPr>
              <w:t>Cruise tourism</w:t>
            </w:r>
            <w:r>
              <w:rPr>
                <w:rStyle w:val="FootnoteReference"/>
                <w:rFonts w:eastAsia="Times New Roman" w:cstheme="minorHAnsi"/>
                <w:color w:val="000000"/>
                <w:sz w:val="18"/>
                <w:szCs w:val="18"/>
                <w:lang w:val="en-GB" w:eastAsia="en-GB"/>
              </w:rPr>
              <w:footnoteReference w:id="117"/>
            </w:r>
          </w:p>
        </w:tc>
        <w:tc>
          <w:tcPr>
            <w:tcW w:w="5945" w:type="dxa"/>
            <w:gridSpan w:val="7"/>
            <w:tcBorders>
              <w:top w:val="nil"/>
              <w:left w:val="nil"/>
              <w:bottom w:val="single" w:sz="4" w:space="0" w:color="auto"/>
              <w:right w:val="single" w:sz="4" w:space="0" w:color="auto"/>
            </w:tcBorders>
            <w:shd w:val="clear" w:color="auto" w:fill="auto"/>
            <w:vAlign w:val="center"/>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11</w:t>
            </w:r>
          </w:p>
        </w:tc>
        <w:tc>
          <w:tcPr>
            <w:tcW w:w="2548" w:type="dxa"/>
            <w:gridSpan w:val="3"/>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89</w:t>
            </w:r>
          </w:p>
        </w:tc>
        <w:tc>
          <w:tcPr>
            <w:tcW w:w="849" w:type="dxa"/>
            <w:tcBorders>
              <w:top w:val="single" w:sz="4" w:space="0" w:color="auto"/>
              <w:left w:val="single" w:sz="4" w:space="0" w:color="auto"/>
              <w:bottom w:val="single" w:sz="4" w:space="0" w:color="auto"/>
              <w:right w:val="single" w:sz="4" w:space="0" w:color="auto"/>
            </w:tcBorders>
          </w:tcPr>
          <w:p w:rsidR="006D3672" w:rsidRPr="006D3672" w:rsidRDefault="006D3672" w:rsidP="006D3672">
            <w:pPr>
              <w:keepNext/>
              <w:keepLines/>
              <w:spacing w:before="0"/>
              <w:contextualSpacing/>
              <w:jc w:val="center"/>
              <w:rPr>
                <w:rFonts w:eastAsia="Times New Roman" w:cstheme="minorHAnsi"/>
                <w:color w:val="000000"/>
                <w:sz w:val="18"/>
                <w:szCs w:val="18"/>
                <w:lang w:val="en-GB" w:eastAsia="en-GB"/>
              </w:rPr>
            </w:pPr>
          </w:p>
        </w:tc>
      </w:tr>
      <w:tr w:rsidR="008744D6" w:rsidRPr="006D3672" w:rsidTr="006D3672">
        <w:trPr>
          <w:trHeight w:val="333"/>
        </w:trPr>
        <w:tc>
          <w:tcPr>
            <w:tcW w:w="7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D3672" w:rsidRPr="006D3672" w:rsidRDefault="006D3672" w:rsidP="006D3672">
            <w:pPr>
              <w:keepNext/>
              <w:keepLines/>
              <w:spacing w:before="0"/>
              <w:contextualSpacing/>
              <w:jc w:val="right"/>
              <w:rPr>
                <w:rFonts w:eastAsia="Times New Roman" w:cstheme="minorHAnsi"/>
                <w:b/>
                <w:color w:val="000000"/>
                <w:sz w:val="18"/>
                <w:szCs w:val="18"/>
                <w:lang w:val="en-GB" w:eastAsia="en-GB"/>
              </w:rPr>
            </w:pPr>
            <w:r w:rsidRPr="006D3672">
              <w:rPr>
                <w:rFonts w:eastAsia="Times New Roman" w:cstheme="minorHAnsi"/>
                <w:b/>
                <w:color w:val="000000"/>
                <w:sz w:val="18"/>
                <w:szCs w:val="18"/>
                <w:lang w:val="en-GB" w:eastAsia="en-GB"/>
              </w:rPr>
              <w:t xml:space="preserve">Total </w:t>
            </w:r>
          </w:p>
        </w:tc>
        <w:tc>
          <w:tcPr>
            <w:tcW w:w="1898" w:type="dxa"/>
            <w:gridSpan w:val="2"/>
            <w:tcBorders>
              <w:top w:val="single" w:sz="4" w:space="0" w:color="auto"/>
              <w:left w:val="nil"/>
              <w:bottom w:val="single" w:sz="4" w:space="0" w:color="auto"/>
              <w:right w:val="single" w:sz="4" w:space="0" w:color="auto"/>
            </w:tcBorders>
            <w:shd w:val="clear" w:color="auto" w:fill="C6D9F1" w:themeFill="text2" w:themeFillTint="33"/>
            <w:vAlign w:val="center"/>
          </w:tcPr>
          <w:p w:rsidR="006D3672" w:rsidRPr="006D3672" w:rsidRDefault="006D3672" w:rsidP="006D3672">
            <w:pPr>
              <w:keepNext/>
              <w:keepLines/>
              <w:spacing w:before="0"/>
              <w:contextualSpacing/>
              <w:jc w:val="left"/>
              <w:rPr>
                <w:rFonts w:eastAsia="Times New Roman" w:cstheme="minorHAnsi"/>
                <w:b/>
                <w:color w:val="000000"/>
                <w:sz w:val="18"/>
                <w:szCs w:val="18"/>
                <w:lang w:val="en-GB" w:eastAsia="en-GB"/>
              </w:rPr>
            </w:pPr>
          </w:p>
        </w:tc>
        <w:tc>
          <w:tcPr>
            <w:tcW w:w="849" w:type="dxa"/>
            <w:tcBorders>
              <w:top w:val="single" w:sz="4" w:space="0" w:color="auto"/>
              <w:left w:val="nil"/>
              <w:bottom w:val="single" w:sz="4" w:space="0" w:color="auto"/>
              <w:right w:val="single" w:sz="4" w:space="0" w:color="auto"/>
            </w:tcBorders>
            <w:shd w:val="clear" w:color="auto" w:fill="C6D9F1" w:themeFill="text2" w:themeFillTint="33"/>
            <w:vAlign w:val="center"/>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49" w:type="dxa"/>
            <w:tcBorders>
              <w:top w:val="single" w:sz="4" w:space="0" w:color="auto"/>
              <w:left w:val="nil"/>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49" w:type="dxa"/>
            <w:tcBorders>
              <w:top w:val="single" w:sz="4" w:space="0" w:color="auto"/>
              <w:left w:val="nil"/>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49" w:type="dxa"/>
            <w:tcBorders>
              <w:top w:val="single" w:sz="4" w:space="0" w:color="auto"/>
              <w:left w:val="nil"/>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50" w:type="dxa"/>
            <w:tcBorders>
              <w:top w:val="single" w:sz="4" w:space="0" w:color="auto"/>
              <w:left w:val="nil"/>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c>
          <w:tcPr>
            <w:tcW w:w="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3672" w:rsidRPr="006D3672" w:rsidRDefault="006D3672" w:rsidP="006D3672">
            <w:pPr>
              <w:keepNext/>
              <w:keepLines/>
              <w:spacing w:before="0"/>
              <w:contextualSpacing/>
              <w:jc w:val="center"/>
              <w:rPr>
                <w:rFonts w:eastAsia="Times New Roman" w:cstheme="minorHAnsi"/>
                <w:b/>
                <w:color w:val="000000"/>
                <w:sz w:val="18"/>
                <w:szCs w:val="18"/>
                <w:lang w:val="en-GB" w:eastAsia="en-GB"/>
              </w:rPr>
            </w:pPr>
          </w:p>
        </w:tc>
      </w:tr>
    </w:tbl>
    <w:p w:rsidR="006D3672" w:rsidRDefault="006D3672" w:rsidP="00A472D7"/>
    <w:p w:rsidR="006D3672" w:rsidRDefault="006D3672" w:rsidP="00A472D7"/>
    <w:p w:rsidR="006D3672" w:rsidRPr="008744D6" w:rsidRDefault="006D3672" w:rsidP="00A472D7"/>
    <w:p w:rsidR="007127CC" w:rsidRDefault="001E1A54" w:rsidP="00280A51">
      <w:pPr>
        <w:spacing w:before="0" w:after="120"/>
        <w:rPr>
          <w:lang w:val="en-GB"/>
        </w:rPr>
      </w:pPr>
      <w:r>
        <w:rPr>
          <w:lang w:val="en-GB"/>
        </w:rPr>
        <w:br w:type="textWrapping" w:clear="all"/>
      </w:r>
    </w:p>
    <w:p w:rsidR="007127CC" w:rsidRDefault="007127CC" w:rsidP="007127CC">
      <w:pPr>
        <w:rPr>
          <w:lang w:val="en-GB"/>
        </w:rPr>
        <w:sectPr w:rsidR="007127CC" w:rsidSect="00A472D7">
          <w:pgSz w:w="16838" w:h="11906" w:orient="landscape"/>
          <w:pgMar w:top="1134" w:right="1387" w:bottom="1134" w:left="1134" w:header="284" w:footer="93" w:gutter="0"/>
          <w:cols w:space="708"/>
          <w:docGrid w:linePitch="360"/>
        </w:sectPr>
      </w:pPr>
    </w:p>
    <w:p w:rsidR="007127CC" w:rsidRPr="00BA79E0" w:rsidRDefault="007127CC" w:rsidP="00FF2F7C">
      <w:pPr>
        <w:pStyle w:val="Heading1"/>
        <w:numPr>
          <w:ilvl w:val="0"/>
          <w:numId w:val="8"/>
        </w:numPr>
        <w:ind w:left="432" w:hanging="432"/>
      </w:pPr>
      <w:bookmarkStart w:id="19" w:name="_Toc361219265"/>
      <w:bookmarkStart w:id="20" w:name="_Toc369887007"/>
      <w:r w:rsidRPr="00BA79E0">
        <w:lastRenderedPageBreak/>
        <w:t>List</w:t>
      </w:r>
      <w:r>
        <w:t xml:space="preserve">ing of </w:t>
      </w:r>
      <w:r w:rsidRPr="00BA79E0">
        <w:t xml:space="preserve">the 7 largest, fastest growing and most promising marine and maritime </w:t>
      </w:r>
      <w:r>
        <w:t>economic activities</w:t>
      </w:r>
      <w:bookmarkEnd w:id="19"/>
      <w:bookmarkEnd w:id="20"/>
    </w:p>
    <w:p w:rsidR="007127CC" w:rsidRPr="000C0C93" w:rsidRDefault="007127CC" w:rsidP="007127CC">
      <w:pPr>
        <w:rPr>
          <w:lang w:val="en-GB"/>
        </w:rPr>
      </w:pPr>
      <w:r>
        <w:rPr>
          <w:lang w:val="en-GB"/>
        </w:rPr>
        <w:t>The f</w:t>
      </w:r>
      <w:r w:rsidRPr="000C0C93">
        <w:rPr>
          <w:lang w:val="en-GB"/>
        </w:rPr>
        <w:t>ollowing section</w:t>
      </w:r>
      <w:r>
        <w:rPr>
          <w:lang w:val="en-GB"/>
        </w:rPr>
        <w:t>s</w:t>
      </w:r>
      <w:r w:rsidRPr="000C0C93">
        <w:rPr>
          <w:lang w:val="en-GB"/>
        </w:rPr>
        <w:t xml:space="preserve"> </w:t>
      </w:r>
      <w:r>
        <w:rPr>
          <w:lang w:val="en-GB"/>
        </w:rPr>
        <w:t>are aligned with th</w:t>
      </w:r>
      <w:r w:rsidRPr="000C0C93">
        <w:rPr>
          <w:lang w:val="en-GB"/>
        </w:rPr>
        <w:t xml:space="preserve">e methodology of </w:t>
      </w:r>
      <w:r>
        <w:rPr>
          <w:lang w:val="en-GB"/>
        </w:rPr>
        <w:t xml:space="preserve">the </w:t>
      </w:r>
      <w:r w:rsidRPr="000C0C93">
        <w:rPr>
          <w:lang w:val="en-GB"/>
        </w:rPr>
        <w:t xml:space="preserve">Blue Growth study, as requested by DG MARE. </w:t>
      </w:r>
      <w:r>
        <w:rPr>
          <w:lang w:val="en-GB"/>
        </w:rPr>
        <w:t xml:space="preserve">A </w:t>
      </w:r>
      <w:r w:rsidRPr="000C0C93">
        <w:rPr>
          <w:lang w:val="en-GB"/>
        </w:rPr>
        <w:t xml:space="preserve">list in ranking order of the 7 largest, 7 fastest growing and 7 most promising prospective maritime </w:t>
      </w:r>
      <w:r>
        <w:rPr>
          <w:lang w:val="en-GB"/>
        </w:rPr>
        <w:t>economic activities</w:t>
      </w:r>
      <w:r w:rsidRPr="000C0C93">
        <w:rPr>
          <w:lang w:val="en-GB"/>
        </w:rPr>
        <w:t xml:space="preserve"> at NUTS 0 level</w:t>
      </w:r>
      <w:r>
        <w:rPr>
          <w:lang w:val="en-GB"/>
        </w:rPr>
        <w:t xml:space="preserve"> is provided</w:t>
      </w:r>
      <w:r w:rsidRPr="000C0C93">
        <w:rPr>
          <w:lang w:val="en-GB"/>
        </w:rPr>
        <w:t>.</w:t>
      </w:r>
      <w:r>
        <w:rPr>
          <w:lang w:val="en-GB"/>
        </w:rPr>
        <w:t xml:space="preserve"> This part of the study relies on statistical information gathered and supplemented with the insights of the sector experts and the country expert. </w:t>
      </w:r>
    </w:p>
    <w:p w:rsidR="007127CC" w:rsidRPr="00BA79E0" w:rsidRDefault="007127CC" w:rsidP="00FF2F7C">
      <w:pPr>
        <w:pStyle w:val="Heading2"/>
        <w:numPr>
          <w:ilvl w:val="1"/>
          <w:numId w:val="8"/>
        </w:numPr>
        <w:ind w:left="576" w:hanging="576"/>
      </w:pPr>
      <w:bookmarkStart w:id="21" w:name="_Toc354739373"/>
      <w:bookmarkStart w:id="22" w:name="_Toc354742397"/>
      <w:bookmarkStart w:id="23" w:name="_Toc354742605"/>
      <w:bookmarkStart w:id="24" w:name="_Toc361219266"/>
      <w:bookmarkStart w:id="25" w:name="_Toc369887008"/>
      <w:r>
        <w:t>Listing and ranking the</w:t>
      </w:r>
      <w:r w:rsidRPr="00BA79E0">
        <w:t xml:space="preserve"> largest marine and maritime </w:t>
      </w:r>
      <w:bookmarkEnd w:id="21"/>
      <w:bookmarkEnd w:id="22"/>
      <w:bookmarkEnd w:id="23"/>
      <w:r>
        <w:t>economic activities</w:t>
      </w:r>
      <w:bookmarkEnd w:id="24"/>
      <w:bookmarkEnd w:id="25"/>
    </w:p>
    <w:p w:rsidR="007127CC" w:rsidRDefault="007127CC" w:rsidP="007127CC">
      <w:pPr>
        <w:rPr>
          <w:b/>
          <w:lang w:val="en-GB"/>
        </w:rPr>
      </w:pPr>
      <w:r>
        <w:rPr>
          <w:lang w:val="en-GB"/>
        </w:rPr>
        <w:t>This s</w:t>
      </w:r>
      <w:r w:rsidR="00280A51">
        <w:rPr>
          <w:lang w:val="en-GB"/>
        </w:rPr>
        <w:t>ection</w:t>
      </w:r>
      <w:r>
        <w:rPr>
          <w:lang w:val="en-GB"/>
        </w:rPr>
        <w:t xml:space="preserve"> identifies the</w:t>
      </w:r>
      <w:r w:rsidRPr="000C0C93">
        <w:rPr>
          <w:lang w:val="en-GB"/>
        </w:rPr>
        <w:t xml:space="preserve"> largest maritime</w:t>
      </w:r>
      <w:r>
        <w:rPr>
          <w:lang w:val="en-GB"/>
        </w:rPr>
        <w:t xml:space="preserve"> economic activities with a ranking order</w:t>
      </w:r>
      <w:r w:rsidRPr="000C0C93">
        <w:rPr>
          <w:lang w:val="en-GB"/>
        </w:rPr>
        <w:t xml:space="preserve">. </w:t>
      </w:r>
      <w:r w:rsidRPr="002A1000">
        <w:rPr>
          <w:lang w:val="en-GB"/>
        </w:rPr>
        <w:t>On the basis of the scores obtained</w:t>
      </w:r>
      <w:r>
        <w:rPr>
          <w:lang w:val="en-GB"/>
        </w:rPr>
        <w:t xml:space="preserve"> in relation to GVA and persons employed</w:t>
      </w:r>
      <w:r w:rsidRPr="002A1000">
        <w:rPr>
          <w:lang w:val="en-GB"/>
        </w:rPr>
        <w:t xml:space="preserve">, the 7 largest </w:t>
      </w:r>
      <w:r>
        <w:rPr>
          <w:lang w:val="en-GB"/>
        </w:rPr>
        <w:t>maritime economic activities</w:t>
      </w:r>
      <w:r w:rsidRPr="002A1000">
        <w:rPr>
          <w:lang w:val="en-GB"/>
        </w:rPr>
        <w:t xml:space="preserve"> </w:t>
      </w:r>
      <w:r>
        <w:rPr>
          <w:lang w:val="en-GB"/>
        </w:rPr>
        <w:t xml:space="preserve">have been </w:t>
      </w:r>
      <w:r w:rsidRPr="002A1000">
        <w:rPr>
          <w:lang w:val="en-GB"/>
        </w:rPr>
        <w:t>identified as follows:</w:t>
      </w:r>
      <w:r w:rsidRPr="000C0C93">
        <w:rPr>
          <w:b/>
          <w:lang w:val="en-GB"/>
        </w:rPr>
        <w:t xml:space="preserve"> </w:t>
      </w:r>
      <w:bookmarkStart w:id="26" w:name="_Toc352862917"/>
      <w:bookmarkEnd w:id="26"/>
    </w:p>
    <w:p w:rsidR="007127CC" w:rsidRPr="000C0C93" w:rsidRDefault="007127CC" w:rsidP="007127CC">
      <w:pPr>
        <w:pStyle w:val="Caption"/>
      </w:pPr>
      <w:r w:rsidRPr="000C0C93">
        <w:t xml:space="preserve">Table </w:t>
      </w:r>
      <w:r w:rsidR="00E8042A">
        <w:t>4</w:t>
      </w:r>
      <w:r w:rsidRPr="000C0C93">
        <w:t xml:space="preserve"> </w:t>
      </w:r>
      <w:r>
        <w:t>–</w:t>
      </w:r>
      <w:r w:rsidRPr="000C0C93">
        <w:t xml:space="preserve"> </w:t>
      </w:r>
      <w:r>
        <w:t>Listing the</w:t>
      </w:r>
      <w:r w:rsidRPr="000C0C93">
        <w:t xml:space="preserve"> </w:t>
      </w:r>
      <w:r>
        <w:t xml:space="preserve">7 </w:t>
      </w:r>
      <w:r w:rsidRPr="000C0C93">
        <w:t xml:space="preserve">largest maritime </w:t>
      </w:r>
      <w:r>
        <w:t>economic activities</w:t>
      </w:r>
      <w:r w:rsidRPr="000C0C93">
        <w:t xml:space="preserve"> in a MS at NUTS-0 level</w:t>
      </w:r>
    </w:p>
    <w:tbl>
      <w:tblPr>
        <w:tblpPr w:leftFromText="180" w:rightFromText="180" w:vertAnchor="text" w:horzAnchor="margin" w:tblpY="62"/>
        <w:tblOverlap w:val="never"/>
        <w:tblW w:w="5000" w:type="pct"/>
        <w:tblLook w:val="04A0" w:firstRow="1" w:lastRow="0" w:firstColumn="1" w:lastColumn="0" w:noHBand="0" w:noVBand="1"/>
      </w:tblPr>
      <w:tblGrid>
        <w:gridCol w:w="765"/>
        <w:gridCol w:w="4588"/>
        <w:gridCol w:w="1419"/>
        <w:gridCol w:w="1423"/>
        <w:gridCol w:w="1659"/>
      </w:tblGrid>
      <w:tr w:rsidR="0007453F" w:rsidRPr="00225EE7" w:rsidTr="001B68AA">
        <w:trPr>
          <w:trHeight w:val="454"/>
        </w:trPr>
        <w:tc>
          <w:tcPr>
            <w:tcW w:w="388"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7127CC" w:rsidRPr="00225EE7" w:rsidRDefault="007127CC"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Rank</w:t>
            </w:r>
          </w:p>
        </w:tc>
        <w:tc>
          <w:tcPr>
            <w:tcW w:w="2328" w:type="pct"/>
            <w:tcBorders>
              <w:top w:val="single" w:sz="4" w:space="0" w:color="auto"/>
              <w:left w:val="single" w:sz="4" w:space="0" w:color="auto"/>
              <w:bottom w:val="single" w:sz="4" w:space="0" w:color="auto"/>
              <w:right w:val="single" w:sz="4" w:space="0" w:color="auto"/>
            </w:tcBorders>
            <w:shd w:val="clear" w:color="000000" w:fill="DBE5F1"/>
            <w:vAlign w:val="center"/>
          </w:tcPr>
          <w:p w:rsidR="007127CC" w:rsidRPr="00225EE7" w:rsidRDefault="007127CC"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Maritime economic activities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7127CC" w:rsidRPr="00225EE7" w:rsidRDefault="007127CC"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GVA</w:t>
            </w:r>
          </w:p>
          <w:p w:rsidR="007127CC" w:rsidRPr="00225EE7" w:rsidRDefault="007127CC" w:rsidP="00A7060D">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w:t>
            </w:r>
            <w:r w:rsidR="00A7060D">
              <w:rPr>
                <w:rFonts w:ascii="Calibri" w:eastAsia="Times New Roman" w:hAnsi="Calibri" w:cs="Times New Roman"/>
                <w:b/>
                <w:bCs/>
                <w:color w:val="000000"/>
                <w:sz w:val="20"/>
                <w:szCs w:val="20"/>
                <w:lang w:val="en-GB" w:eastAsia="en-GB"/>
              </w:rPr>
              <w:t xml:space="preserve">€ </w:t>
            </w:r>
            <w:r w:rsidRPr="00225EE7">
              <w:rPr>
                <w:rFonts w:ascii="Calibri" w:eastAsia="Times New Roman" w:hAnsi="Calibri" w:cs="Times New Roman"/>
                <w:b/>
                <w:bCs/>
                <w:color w:val="000000"/>
                <w:sz w:val="20"/>
                <w:szCs w:val="20"/>
                <w:lang w:val="en-GB" w:eastAsia="en-GB"/>
              </w:rPr>
              <w:t>million)</w:t>
            </w:r>
          </w:p>
        </w:tc>
        <w:tc>
          <w:tcPr>
            <w:tcW w:w="722" w:type="pct"/>
            <w:tcBorders>
              <w:top w:val="single" w:sz="4" w:space="0" w:color="auto"/>
              <w:left w:val="single" w:sz="4" w:space="0" w:color="auto"/>
              <w:bottom w:val="single" w:sz="4" w:space="0" w:color="auto"/>
              <w:right w:val="single" w:sz="4" w:space="0" w:color="auto"/>
            </w:tcBorders>
            <w:shd w:val="clear" w:color="000000" w:fill="DBE5F1"/>
            <w:vAlign w:val="center"/>
          </w:tcPr>
          <w:p w:rsidR="007127CC" w:rsidRPr="00225EE7" w:rsidRDefault="007127CC"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Employment (*1000)</w:t>
            </w:r>
          </w:p>
        </w:tc>
        <w:tc>
          <w:tcPr>
            <w:tcW w:w="843" w:type="pct"/>
            <w:tcBorders>
              <w:top w:val="single" w:sz="4" w:space="0" w:color="auto"/>
              <w:left w:val="single" w:sz="4" w:space="0" w:color="auto"/>
              <w:bottom w:val="single" w:sz="4" w:space="0" w:color="auto"/>
              <w:right w:val="single" w:sz="4" w:space="0" w:color="auto"/>
            </w:tcBorders>
            <w:shd w:val="clear" w:color="000000" w:fill="DBE5F1"/>
            <w:vAlign w:val="center"/>
          </w:tcPr>
          <w:p w:rsidR="007127CC" w:rsidRPr="00225EE7" w:rsidRDefault="007127CC"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Score</w:t>
            </w:r>
          </w:p>
        </w:tc>
      </w:tr>
      <w:tr w:rsidR="0007453F" w:rsidRPr="00225EE7" w:rsidTr="001B68AA">
        <w:trPr>
          <w:trHeight w:val="20"/>
        </w:trPr>
        <w:tc>
          <w:tcPr>
            <w:tcW w:w="388" w:type="pct"/>
            <w:tcBorders>
              <w:top w:val="nil"/>
              <w:left w:val="single" w:sz="4" w:space="0" w:color="auto"/>
              <w:bottom w:val="single" w:sz="4" w:space="0" w:color="auto"/>
              <w:right w:val="single" w:sz="4" w:space="0" w:color="auto"/>
            </w:tcBorders>
            <w:shd w:val="clear" w:color="auto" w:fill="FFFFFF" w:themeFill="background1"/>
            <w:vAlign w:val="center"/>
            <w:hideMark/>
          </w:tcPr>
          <w:p w:rsidR="0007453F" w:rsidRPr="00225EE7" w:rsidRDefault="0007453F"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1.</w:t>
            </w:r>
          </w:p>
        </w:tc>
        <w:tc>
          <w:tcPr>
            <w:tcW w:w="2328" w:type="pct"/>
            <w:tcBorders>
              <w:top w:val="nil"/>
              <w:left w:val="nil"/>
              <w:bottom w:val="single" w:sz="4" w:space="0" w:color="auto"/>
              <w:right w:val="single" w:sz="4" w:space="0" w:color="auto"/>
            </w:tcBorders>
            <w:shd w:val="clear" w:color="auto" w:fill="FFFFFF" w:themeFill="background1"/>
            <w:vAlign w:val="center"/>
          </w:tcPr>
          <w:p w:rsidR="0007453F" w:rsidRPr="00225EE7" w:rsidRDefault="0007453F">
            <w:pPr>
              <w:rPr>
                <w:rFonts w:ascii="Calibri" w:hAnsi="Calibri" w:cs="Calibri"/>
                <w:color w:val="000000"/>
                <w:sz w:val="20"/>
                <w:szCs w:val="20"/>
              </w:rPr>
            </w:pPr>
            <w:r w:rsidRPr="00225EE7">
              <w:rPr>
                <w:rFonts w:ascii="Calibri" w:hAnsi="Calibri" w:cs="Calibri"/>
                <w:color w:val="000000"/>
                <w:sz w:val="20"/>
                <w:szCs w:val="20"/>
              </w:rPr>
              <w:t>Coastal tourism</w:t>
            </w:r>
          </w:p>
        </w:tc>
        <w:tc>
          <w:tcPr>
            <w:tcW w:w="720" w:type="pct"/>
            <w:tcBorders>
              <w:top w:val="nil"/>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3</w:t>
            </w:r>
            <w:r w:rsidR="00DD2430" w:rsidRPr="00225EE7">
              <w:rPr>
                <w:rFonts w:ascii="Calibri" w:hAnsi="Calibri" w:cs="Calibri"/>
                <w:color w:val="000000"/>
                <w:sz w:val="20"/>
                <w:szCs w:val="20"/>
              </w:rPr>
              <w:t>,</w:t>
            </w:r>
            <w:r w:rsidRPr="00225EE7">
              <w:rPr>
                <w:rFonts w:ascii="Calibri" w:hAnsi="Calibri" w:cs="Calibri"/>
                <w:color w:val="000000"/>
                <w:sz w:val="20"/>
                <w:szCs w:val="20"/>
              </w:rPr>
              <w:t>401</w:t>
            </w:r>
          </w:p>
        </w:tc>
        <w:tc>
          <w:tcPr>
            <w:tcW w:w="722" w:type="pct"/>
            <w:tcBorders>
              <w:top w:val="nil"/>
              <w:left w:val="nil"/>
              <w:bottom w:val="single" w:sz="4" w:space="0" w:color="auto"/>
              <w:right w:val="single" w:sz="4" w:space="0" w:color="auto"/>
            </w:tcBorders>
            <w:shd w:val="clear" w:color="auto" w:fill="FFFFFF" w:themeFill="background1"/>
            <w:vAlign w:val="center"/>
          </w:tcPr>
          <w:p w:rsidR="0007453F" w:rsidRPr="00225EE7" w:rsidRDefault="00794A52">
            <w:pPr>
              <w:jc w:val="center"/>
              <w:rPr>
                <w:rFonts w:ascii="Calibri" w:hAnsi="Calibri" w:cs="Calibri"/>
                <w:color w:val="000000"/>
                <w:sz w:val="20"/>
                <w:szCs w:val="20"/>
              </w:rPr>
            </w:pPr>
            <w:r>
              <w:rPr>
                <w:rFonts w:ascii="Calibri" w:hAnsi="Calibri" w:cs="Calibri"/>
                <w:color w:val="000000"/>
                <w:sz w:val="20"/>
                <w:szCs w:val="20"/>
              </w:rPr>
              <w:t>65,569</w:t>
            </w:r>
          </w:p>
        </w:tc>
        <w:tc>
          <w:tcPr>
            <w:tcW w:w="843" w:type="pct"/>
            <w:tcBorders>
              <w:top w:val="nil"/>
              <w:left w:val="nil"/>
              <w:bottom w:val="single" w:sz="4" w:space="0" w:color="auto"/>
              <w:right w:val="single" w:sz="4" w:space="0" w:color="auto"/>
            </w:tcBorders>
            <w:shd w:val="clear" w:color="auto" w:fill="FFFFFF" w:themeFill="background1"/>
            <w:vAlign w:val="bottom"/>
          </w:tcPr>
          <w:p w:rsidR="0007453F" w:rsidRPr="00225EE7" w:rsidRDefault="0007453F" w:rsidP="001B68AA">
            <w:pPr>
              <w:jc w:val="center"/>
              <w:rPr>
                <w:rFonts w:ascii="Calibri" w:hAnsi="Calibri" w:cs="Calibri"/>
                <w:color w:val="000000"/>
                <w:sz w:val="20"/>
                <w:szCs w:val="20"/>
              </w:rPr>
            </w:pPr>
            <w:r w:rsidRPr="00225EE7">
              <w:rPr>
                <w:rFonts w:ascii="Calibri" w:hAnsi="Calibri" w:cs="Calibri"/>
                <w:color w:val="000000"/>
                <w:sz w:val="20"/>
                <w:szCs w:val="20"/>
              </w:rPr>
              <w:t>55.6</w:t>
            </w:r>
          </w:p>
        </w:tc>
      </w:tr>
      <w:tr w:rsidR="0007453F" w:rsidRPr="00225EE7" w:rsidTr="001B68AA">
        <w:trPr>
          <w:trHeight w:val="20"/>
        </w:trPr>
        <w:tc>
          <w:tcPr>
            <w:tcW w:w="388" w:type="pct"/>
            <w:tcBorders>
              <w:top w:val="nil"/>
              <w:left w:val="single" w:sz="4" w:space="0" w:color="auto"/>
              <w:bottom w:val="single" w:sz="4" w:space="0" w:color="auto"/>
              <w:right w:val="single" w:sz="4" w:space="0" w:color="auto"/>
            </w:tcBorders>
            <w:shd w:val="clear" w:color="auto" w:fill="FFFFFF" w:themeFill="background1"/>
            <w:vAlign w:val="center"/>
            <w:hideMark/>
          </w:tcPr>
          <w:p w:rsidR="0007453F" w:rsidRPr="00225EE7" w:rsidRDefault="0007453F"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2.</w:t>
            </w:r>
          </w:p>
        </w:tc>
        <w:tc>
          <w:tcPr>
            <w:tcW w:w="2328" w:type="pct"/>
            <w:tcBorders>
              <w:top w:val="nil"/>
              <w:left w:val="nil"/>
              <w:bottom w:val="single" w:sz="4" w:space="0" w:color="auto"/>
              <w:right w:val="single" w:sz="4" w:space="0" w:color="auto"/>
            </w:tcBorders>
            <w:shd w:val="clear" w:color="auto" w:fill="FFFFFF" w:themeFill="background1"/>
            <w:vAlign w:val="center"/>
          </w:tcPr>
          <w:p w:rsidR="0007453F" w:rsidRPr="00225EE7" w:rsidRDefault="0007453F">
            <w:pPr>
              <w:rPr>
                <w:rFonts w:ascii="Calibri" w:hAnsi="Calibri" w:cs="Calibri"/>
                <w:color w:val="000000"/>
                <w:sz w:val="20"/>
                <w:szCs w:val="20"/>
                <w:lang w:val="en-GB"/>
              </w:rPr>
            </w:pPr>
            <w:r w:rsidRPr="00225EE7">
              <w:rPr>
                <w:rFonts w:ascii="Calibri" w:hAnsi="Calibri" w:cs="Calibri"/>
                <w:color w:val="000000"/>
                <w:sz w:val="20"/>
                <w:szCs w:val="20"/>
                <w:lang w:val="en-GB"/>
              </w:rPr>
              <w:t>Catching fish for human consumption</w:t>
            </w:r>
          </w:p>
        </w:tc>
        <w:tc>
          <w:tcPr>
            <w:tcW w:w="720" w:type="pct"/>
            <w:tcBorders>
              <w:top w:val="nil"/>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2</w:t>
            </w:r>
            <w:r w:rsidR="00DD2430" w:rsidRPr="00225EE7">
              <w:rPr>
                <w:rFonts w:ascii="Calibri" w:hAnsi="Calibri" w:cs="Calibri"/>
                <w:color w:val="000000"/>
                <w:sz w:val="20"/>
                <w:szCs w:val="20"/>
              </w:rPr>
              <w:t>,</w:t>
            </w:r>
            <w:r w:rsidRPr="00225EE7">
              <w:rPr>
                <w:rFonts w:ascii="Calibri" w:hAnsi="Calibri" w:cs="Calibri"/>
                <w:color w:val="000000"/>
                <w:sz w:val="20"/>
                <w:szCs w:val="20"/>
              </w:rPr>
              <w:t>759</w:t>
            </w:r>
          </w:p>
        </w:tc>
        <w:tc>
          <w:tcPr>
            <w:tcW w:w="722" w:type="pct"/>
            <w:tcBorders>
              <w:top w:val="nil"/>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56</w:t>
            </w:r>
            <w:r w:rsidR="00DD2430" w:rsidRPr="00225EE7">
              <w:rPr>
                <w:rFonts w:ascii="Calibri" w:hAnsi="Calibri" w:cs="Calibri"/>
                <w:color w:val="000000"/>
                <w:sz w:val="20"/>
                <w:szCs w:val="20"/>
              </w:rPr>
              <w:t>,</w:t>
            </w:r>
            <w:r w:rsidRPr="00225EE7">
              <w:rPr>
                <w:rFonts w:ascii="Calibri" w:hAnsi="Calibri" w:cs="Calibri"/>
                <w:color w:val="000000"/>
                <w:sz w:val="20"/>
                <w:szCs w:val="20"/>
              </w:rPr>
              <w:t>156</w:t>
            </w:r>
          </w:p>
        </w:tc>
        <w:tc>
          <w:tcPr>
            <w:tcW w:w="843" w:type="pct"/>
            <w:tcBorders>
              <w:top w:val="nil"/>
              <w:left w:val="nil"/>
              <w:bottom w:val="single" w:sz="4" w:space="0" w:color="auto"/>
              <w:right w:val="single" w:sz="4" w:space="0" w:color="auto"/>
            </w:tcBorders>
            <w:shd w:val="clear" w:color="auto" w:fill="FFFFFF" w:themeFill="background1"/>
            <w:vAlign w:val="bottom"/>
          </w:tcPr>
          <w:p w:rsidR="0007453F" w:rsidRPr="00225EE7" w:rsidRDefault="0007453F" w:rsidP="001B68AA">
            <w:pPr>
              <w:jc w:val="center"/>
              <w:rPr>
                <w:rFonts w:ascii="Calibri" w:hAnsi="Calibri" w:cs="Calibri"/>
                <w:color w:val="000000"/>
                <w:sz w:val="20"/>
                <w:szCs w:val="20"/>
              </w:rPr>
            </w:pPr>
            <w:r w:rsidRPr="00225EE7">
              <w:rPr>
                <w:rFonts w:ascii="Calibri" w:hAnsi="Calibri" w:cs="Calibri"/>
                <w:color w:val="000000"/>
                <w:sz w:val="20"/>
                <w:szCs w:val="20"/>
              </w:rPr>
              <w:t>41.9</w:t>
            </w:r>
          </w:p>
        </w:tc>
      </w:tr>
      <w:tr w:rsidR="0007453F" w:rsidRPr="00225EE7" w:rsidTr="001B68A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453F" w:rsidRPr="00225EE7" w:rsidRDefault="0007453F"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3.</w:t>
            </w:r>
          </w:p>
        </w:tc>
        <w:tc>
          <w:tcPr>
            <w:tcW w:w="2328"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rPr>
                <w:rFonts w:ascii="Calibri" w:hAnsi="Calibri" w:cs="Calibri"/>
                <w:color w:val="000000"/>
                <w:sz w:val="20"/>
                <w:szCs w:val="20"/>
                <w:lang w:val="en-GB"/>
              </w:rPr>
            </w:pPr>
            <w:r w:rsidRPr="00225EE7">
              <w:rPr>
                <w:rFonts w:ascii="Calibri" w:hAnsi="Calibri" w:cs="Calibri"/>
                <w:color w:val="000000"/>
                <w:sz w:val="20"/>
                <w:szCs w:val="20"/>
                <w:lang w:val="en-GB"/>
              </w:rPr>
              <w:t>Short-sea shipping (incl. Ro-Ro)</w:t>
            </w:r>
          </w:p>
        </w:tc>
        <w:tc>
          <w:tcPr>
            <w:tcW w:w="720"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3</w:t>
            </w:r>
            <w:r w:rsidR="00DD2430" w:rsidRPr="00225EE7">
              <w:rPr>
                <w:rFonts w:ascii="Calibri" w:hAnsi="Calibri" w:cs="Calibri"/>
                <w:color w:val="000000"/>
                <w:sz w:val="20"/>
                <w:szCs w:val="20"/>
              </w:rPr>
              <w:t>,</w:t>
            </w:r>
            <w:r w:rsidRPr="00225EE7">
              <w:rPr>
                <w:rFonts w:ascii="Calibri" w:hAnsi="Calibri" w:cs="Calibri"/>
                <w:color w:val="000000"/>
                <w:sz w:val="20"/>
                <w:szCs w:val="20"/>
              </w:rPr>
              <w:t>049</w:t>
            </w:r>
          </w:p>
        </w:tc>
        <w:tc>
          <w:tcPr>
            <w:tcW w:w="722"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30</w:t>
            </w:r>
            <w:r w:rsidR="00DD2430" w:rsidRPr="00225EE7">
              <w:rPr>
                <w:rFonts w:ascii="Calibri" w:hAnsi="Calibri" w:cs="Calibri"/>
                <w:color w:val="000000"/>
                <w:sz w:val="20"/>
                <w:szCs w:val="20"/>
              </w:rPr>
              <w:t>,</w:t>
            </w:r>
            <w:r w:rsidRPr="00225EE7">
              <w:rPr>
                <w:rFonts w:ascii="Calibri" w:hAnsi="Calibri" w:cs="Calibri"/>
                <w:color w:val="000000"/>
                <w:sz w:val="20"/>
                <w:szCs w:val="20"/>
              </w:rPr>
              <w:t>572</w:t>
            </w:r>
          </w:p>
        </w:tc>
        <w:tc>
          <w:tcPr>
            <w:tcW w:w="843" w:type="pct"/>
            <w:tcBorders>
              <w:top w:val="single" w:sz="4" w:space="0" w:color="auto"/>
              <w:left w:val="nil"/>
              <w:bottom w:val="single" w:sz="4" w:space="0" w:color="auto"/>
              <w:right w:val="single" w:sz="4" w:space="0" w:color="auto"/>
            </w:tcBorders>
            <w:shd w:val="clear" w:color="auto" w:fill="FFFFFF" w:themeFill="background1"/>
            <w:vAlign w:val="bottom"/>
          </w:tcPr>
          <w:p w:rsidR="0007453F" w:rsidRPr="00225EE7" w:rsidRDefault="0007453F" w:rsidP="001B68AA">
            <w:pPr>
              <w:jc w:val="center"/>
              <w:rPr>
                <w:rFonts w:ascii="Calibri" w:hAnsi="Calibri" w:cs="Calibri"/>
                <w:color w:val="000000"/>
                <w:sz w:val="20"/>
                <w:szCs w:val="20"/>
              </w:rPr>
            </w:pPr>
            <w:r w:rsidRPr="00225EE7">
              <w:rPr>
                <w:rFonts w:ascii="Calibri" w:hAnsi="Calibri" w:cs="Calibri"/>
                <w:color w:val="000000"/>
                <w:sz w:val="20"/>
                <w:szCs w:val="20"/>
              </w:rPr>
              <w:t>30.5</w:t>
            </w:r>
          </w:p>
        </w:tc>
      </w:tr>
      <w:tr w:rsidR="0007453F" w:rsidRPr="00225EE7" w:rsidTr="001B68A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453F" w:rsidRPr="00225EE7" w:rsidRDefault="0007453F"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4.</w:t>
            </w:r>
          </w:p>
        </w:tc>
        <w:tc>
          <w:tcPr>
            <w:tcW w:w="2328"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rPr>
                <w:rFonts w:ascii="Calibri" w:hAnsi="Calibri" w:cs="Calibri"/>
                <w:color w:val="000000"/>
                <w:sz w:val="20"/>
                <w:szCs w:val="20"/>
              </w:rPr>
            </w:pPr>
            <w:r w:rsidRPr="00225EE7">
              <w:rPr>
                <w:rFonts w:ascii="Calibri" w:hAnsi="Calibri" w:cs="Calibri"/>
                <w:color w:val="000000"/>
                <w:sz w:val="20"/>
                <w:szCs w:val="20"/>
              </w:rPr>
              <w:t>Yachting and marinas</w:t>
            </w:r>
          </w:p>
        </w:tc>
        <w:tc>
          <w:tcPr>
            <w:tcW w:w="720"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1</w:t>
            </w:r>
            <w:r w:rsidR="00DD2430" w:rsidRPr="00225EE7">
              <w:rPr>
                <w:rFonts w:ascii="Calibri" w:hAnsi="Calibri" w:cs="Calibri"/>
                <w:color w:val="000000"/>
                <w:sz w:val="20"/>
                <w:szCs w:val="20"/>
              </w:rPr>
              <w:t>,</w:t>
            </w:r>
            <w:r w:rsidRPr="00225EE7">
              <w:rPr>
                <w:rFonts w:ascii="Calibri" w:hAnsi="Calibri" w:cs="Calibri"/>
                <w:color w:val="000000"/>
                <w:sz w:val="20"/>
                <w:szCs w:val="20"/>
              </w:rPr>
              <w:t>700</w:t>
            </w:r>
          </w:p>
        </w:tc>
        <w:tc>
          <w:tcPr>
            <w:tcW w:w="722"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40</w:t>
            </w:r>
            <w:r w:rsidR="00DD2430" w:rsidRPr="00225EE7">
              <w:rPr>
                <w:rFonts w:ascii="Calibri" w:hAnsi="Calibri" w:cs="Calibri"/>
                <w:color w:val="000000"/>
                <w:sz w:val="20"/>
                <w:szCs w:val="20"/>
              </w:rPr>
              <w:t>,</w:t>
            </w:r>
            <w:r w:rsidRPr="00225EE7">
              <w:rPr>
                <w:rFonts w:ascii="Calibri" w:hAnsi="Calibri" w:cs="Calibri"/>
                <w:color w:val="000000"/>
                <w:sz w:val="20"/>
                <w:szCs w:val="20"/>
              </w:rPr>
              <w:t>700</w:t>
            </w:r>
          </w:p>
        </w:tc>
        <w:tc>
          <w:tcPr>
            <w:tcW w:w="843" w:type="pct"/>
            <w:tcBorders>
              <w:top w:val="single" w:sz="4" w:space="0" w:color="auto"/>
              <w:left w:val="nil"/>
              <w:bottom w:val="single" w:sz="4" w:space="0" w:color="auto"/>
              <w:right w:val="single" w:sz="4" w:space="0" w:color="auto"/>
            </w:tcBorders>
            <w:shd w:val="clear" w:color="auto" w:fill="FFFFFF" w:themeFill="background1"/>
            <w:vAlign w:val="bottom"/>
          </w:tcPr>
          <w:p w:rsidR="0007453F" w:rsidRPr="00225EE7" w:rsidRDefault="0007453F" w:rsidP="001B68AA">
            <w:pPr>
              <w:jc w:val="center"/>
              <w:rPr>
                <w:rFonts w:ascii="Calibri" w:hAnsi="Calibri" w:cs="Calibri"/>
                <w:color w:val="000000"/>
                <w:sz w:val="20"/>
                <w:szCs w:val="20"/>
              </w:rPr>
            </w:pPr>
            <w:r w:rsidRPr="00225EE7">
              <w:rPr>
                <w:rFonts w:ascii="Calibri" w:hAnsi="Calibri" w:cs="Calibri"/>
                <w:color w:val="000000"/>
                <w:sz w:val="20"/>
                <w:szCs w:val="20"/>
              </w:rPr>
              <w:t>28.9</w:t>
            </w:r>
          </w:p>
        </w:tc>
      </w:tr>
      <w:tr w:rsidR="0007453F" w:rsidRPr="00225EE7" w:rsidTr="001B68A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453F" w:rsidRPr="00225EE7" w:rsidRDefault="0007453F"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5.</w:t>
            </w:r>
          </w:p>
        </w:tc>
        <w:tc>
          <w:tcPr>
            <w:tcW w:w="2328"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rPr>
                <w:rFonts w:ascii="Calibri" w:hAnsi="Calibri" w:cs="Calibri"/>
                <w:bCs/>
                <w:color w:val="000000"/>
                <w:sz w:val="20"/>
                <w:szCs w:val="20"/>
                <w:lang w:val="en-GB"/>
              </w:rPr>
            </w:pPr>
            <w:r w:rsidRPr="00225EE7">
              <w:rPr>
                <w:rFonts w:ascii="Calibri" w:hAnsi="Calibri" w:cs="Calibri"/>
                <w:bCs/>
                <w:color w:val="000000"/>
                <w:sz w:val="20"/>
                <w:szCs w:val="20"/>
                <w:lang w:val="en-GB"/>
              </w:rPr>
              <w:t>Shipbuilding (excl. leisure boats) and ship repair</w:t>
            </w:r>
          </w:p>
        </w:tc>
        <w:tc>
          <w:tcPr>
            <w:tcW w:w="720"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1</w:t>
            </w:r>
            <w:r w:rsidR="00DD2430" w:rsidRPr="00225EE7">
              <w:rPr>
                <w:rFonts w:ascii="Calibri" w:hAnsi="Calibri" w:cs="Calibri"/>
                <w:color w:val="000000"/>
                <w:sz w:val="20"/>
                <w:szCs w:val="20"/>
              </w:rPr>
              <w:t>,</w:t>
            </w:r>
            <w:r w:rsidRPr="00225EE7">
              <w:rPr>
                <w:rFonts w:ascii="Calibri" w:hAnsi="Calibri" w:cs="Calibri"/>
                <w:color w:val="000000"/>
                <w:sz w:val="20"/>
                <w:szCs w:val="20"/>
              </w:rPr>
              <w:t>120</w:t>
            </w:r>
          </w:p>
        </w:tc>
        <w:tc>
          <w:tcPr>
            <w:tcW w:w="722"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19</w:t>
            </w:r>
            <w:r w:rsidR="00DD2430" w:rsidRPr="00225EE7">
              <w:rPr>
                <w:rFonts w:ascii="Calibri" w:hAnsi="Calibri" w:cs="Calibri"/>
                <w:color w:val="000000"/>
                <w:sz w:val="20"/>
                <w:szCs w:val="20"/>
              </w:rPr>
              <w:t>,</w:t>
            </w:r>
            <w:r w:rsidRPr="00225EE7">
              <w:rPr>
                <w:rFonts w:ascii="Calibri" w:hAnsi="Calibri" w:cs="Calibri"/>
                <w:color w:val="000000"/>
                <w:sz w:val="20"/>
                <w:szCs w:val="20"/>
              </w:rPr>
              <w:t>121</w:t>
            </w:r>
          </w:p>
        </w:tc>
        <w:tc>
          <w:tcPr>
            <w:tcW w:w="843" w:type="pct"/>
            <w:tcBorders>
              <w:top w:val="single" w:sz="4" w:space="0" w:color="auto"/>
              <w:left w:val="nil"/>
              <w:bottom w:val="single" w:sz="4" w:space="0" w:color="auto"/>
              <w:right w:val="single" w:sz="4" w:space="0" w:color="auto"/>
            </w:tcBorders>
            <w:shd w:val="clear" w:color="auto" w:fill="FFFFFF" w:themeFill="background1"/>
            <w:vAlign w:val="bottom"/>
          </w:tcPr>
          <w:p w:rsidR="0007453F" w:rsidRPr="00225EE7" w:rsidRDefault="0007453F" w:rsidP="001B68AA">
            <w:pPr>
              <w:jc w:val="center"/>
              <w:rPr>
                <w:rFonts w:ascii="Calibri" w:hAnsi="Calibri" w:cs="Calibri"/>
                <w:color w:val="000000"/>
                <w:sz w:val="20"/>
                <w:szCs w:val="20"/>
              </w:rPr>
            </w:pPr>
            <w:r w:rsidRPr="00225EE7">
              <w:rPr>
                <w:rFonts w:ascii="Calibri" w:hAnsi="Calibri" w:cs="Calibri"/>
                <w:color w:val="000000"/>
                <w:sz w:val="20"/>
                <w:szCs w:val="20"/>
              </w:rPr>
              <w:t>15.2</w:t>
            </w:r>
          </w:p>
        </w:tc>
      </w:tr>
      <w:tr w:rsidR="0007453F" w:rsidRPr="00225EE7" w:rsidTr="001B68A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453F" w:rsidRPr="00225EE7" w:rsidRDefault="0007453F"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6.</w:t>
            </w:r>
          </w:p>
        </w:tc>
        <w:tc>
          <w:tcPr>
            <w:tcW w:w="2328"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rPr>
                <w:rFonts w:ascii="Calibri" w:hAnsi="Calibri" w:cs="Calibri"/>
                <w:color w:val="000000"/>
                <w:sz w:val="20"/>
                <w:szCs w:val="20"/>
              </w:rPr>
            </w:pPr>
            <w:r w:rsidRPr="00225EE7">
              <w:rPr>
                <w:rFonts w:ascii="Calibri" w:hAnsi="Calibri" w:cs="Calibri"/>
                <w:color w:val="000000"/>
                <w:sz w:val="20"/>
                <w:szCs w:val="20"/>
              </w:rPr>
              <w:t>Deep-sea shipping</w:t>
            </w:r>
          </w:p>
        </w:tc>
        <w:tc>
          <w:tcPr>
            <w:tcW w:w="720"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1</w:t>
            </w:r>
            <w:r w:rsidR="00DD2430" w:rsidRPr="00225EE7">
              <w:rPr>
                <w:rFonts w:ascii="Calibri" w:hAnsi="Calibri" w:cs="Calibri"/>
                <w:color w:val="000000"/>
                <w:sz w:val="20"/>
                <w:szCs w:val="20"/>
              </w:rPr>
              <w:t>,</w:t>
            </w:r>
            <w:r w:rsidRPr="00225EE7">
              <w:rPr>
                <w:rFonts w:ascii="Calibri" w:hAnsi="Calibri" w:cs="Calibri"/>
                <w:color w:val="000000"/>
                <w:sz w:val="20"/>
                <w:szCs w:val="20"/>
              </w:rPr>
              <w:t>460</w:t>
            </w:r>
          </w:p>
        </w:tc>
        <w:tc>
          <w:tcPr>
            <w:tcW w:w="722"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14</w:t>
            </w:r>
            <w:r w:rsidR="00DD2430" w:rsidRPr="00225EE7">
              <w:rPr>
                <w:rFonts w:ascii="Calibri" w:hAnsi="Calibri" w:cs="Calibri"/>
                <w:color w:val="000000"/>
                <w:sz w:val="20"/>
                <w:szCs w:val="20"/>
              </w:rPr>
              <w:t>,</w:t>
            </w:r>
            <w:r w:rsidRPr="00225EE7">
              <w:rPr>
                <w:rFonts w:ascii="Calibri" w:hAnsi="Calibri" w:cs="Calibri"/>
                <w:color w:val="000000"/>
                <w:sz w:val="20"/>
                <w:szCs w:val="20"/>
              </w:rPr>
              <w:t>641</w:t>
            </w:r>
          </w:p>
        </w:tc>
        <w:tc>
          <w:tcPr>
            <w:tcW w:w="843" w:type="pct"/>
            <w:tcBorders>
              <w:top w:val="single" w:sz="4" w:space="0" w:color="auto"/>
              <w:left w:val="nil"/>
              <w:bottom w:val="single" w:sz="4" w:space="0" w:color="auto"/>
              <w:right w:val="single" w:sz="4" w:space="0" w:color="auto"/>
            </w:tcBorders>
            <w:shd w:val="clear" w:color="auto" w:fill="FFFFFF" w:themeFill="background1"/>
            <w:vAlign w:val="bottom"/>
          </w:tcPr>
          <w:p w:rsidR="0007453F" w:rsidRPr="00225EE7" w:rsidRDefault="0007453F" w:rsidP="001B68AA">
            <w:pPr>
              <w:jc w:val="center"/>
              <w:rPr>
                <w:rFonts w:ascii="Calibri" w:hAnsi="Calibri" w:cs="Calibri"/>
                <w:color w:val="000000"/>
                <w:sz w:val="20"/>
                <w:szCs w:val="20"/>
              </w:rPr>
            </w:pPr>
            <w:r w:rsidRPr="00225EE7">
              <w:rPr>
                <w:rFonts w:ascii="Calibri" w:hAnsi="Calibri" w:cs="Calibri"/>
                <w:color w:val="000000"/>
                <w:sz w:val="20"/>
                <w:szCs w:val="20"/>
              </w:rPr>
              <w:t>14.6</w:t>
            </w:r>
          </w:p>
        </w:tc>
      </w:tr>
      <w:tr w:rsidR="0007453F" w:rsidRPr="00225EE7" w:rsidTr="001B68A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453F" w:rsidRPr="00225EE7" w:rsidRDefault="0007453F" w:rsidP="00A50CE0">
            <w:pPr>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7.</w:t>
            </w:r>
          </w:p>
        </w:tc>
        <w:tc>
          <w:tcPr>
            <w:tcW w:w="2328"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rPr>
                <w:rFonts w:ascii="Calibri" w:hAnsi="Calibri" w:cs="Calibri"/>
                <w:color w:val="000000"/>
                <w:sz w:val="20"/>
                <w:szCs w:val="20"/>
              </w:rPr>
            </w:pPr>
            <w:r w:rsidRPr="00225EE7">
              <w:rPr>
                <w:rFonts w:ascii="Calibri" w:hAnsi="Calibri" w:cs="Calibri"/>
                <w:color w:val="000000"/>
                <w:sz w:val="20"/>
                <w:szCs w:val="20"/>
              </w:rPr>
              <w:t>Passenger ferry services</w:t>
            </w:r>
          </w:p>
        </w:tc>
        <w:tc>
          <w:tcPr>
            <w:tcW w:w="720"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978</w:t>
            </w:r>
          </w:p>
        </w:tc>
        <w:tc>
          <w:tcPr>
            <w:tcW w:w="722" w:type="pct"/>
            <w:tcBorders>
              <w:top w:val="single" w:sz="4" w:space="0" w:color="auto"/>
              <w:left w:val="nil"/>
              <w:bottom w:val="single" w:sz="4" w:space="0" w:color="auto"/>
              <w:right w:val="single" w:sz="4" w:space="0" w:color="auto"/>
            </w:tcBorders>
            <w:shd w:val="clear" w:color="auto" w:fill="FFFFFF" w:themeFill="background1"/>
            <w:vAlign w:val="center"/>
          </w:tcPr>
          <w:p w:rsidR="0007453F" w:rsidRPr="00225EE7" w:rsidRDefault="0007453F">
            <w:pPr>
              <w:jc w:val="center"/>
              <w:rPr>
                <w:rFonts w:ascii="Calibri" w:hAnsi="Calibri" w:cs="Calibri"/>
                <w:color w:val="000000"/>
                <w:sz w:val="20"/>
                <w:szCs w:val="20"/>
              </w:rPr>
            </w:pPr>
            <w:r w:rsidRPr="00225EE7">
              <w:rPr>
                <w:rFonts w:ascii="Calibri" w:hAnsi="Calibri" w:cs="Calibri"/>
                <w:color w:val="000000"/>
                <w:sz w:val="20"/>
                <w:szCs w:val="20"/>
              </w:rPr>
              <w:t>13</w:t>
            </w:r>
            <w:r w:rsidR="00DD2430" w:rsidRPr="00225EE7">
              <w:rPr>
                <w:rFonts w:ascii="Calibri" w:hAnsi="Calibri" w:cs="Calibri"/>
                <w:color w:val="000000"/>
                <w:sz w:val="20"/>
                <w:szCs w:val="20"/>
              </w:rPr>
              <w:t>,</w:t>
            </w:r>
            <w:r w:rsidRPr="00225EE7">
              <w:rPr>
                <w:rFonts w:ascii="Calibri" w:hAnsi="Calibri" w:cs="Calibri"/>
                <w:color w:val="000000"/>
                <w:sz w:val="20"/>
                <w:szCs w:val="20"/>
              </w:rPr>
              <w:t>931</w:t>
            </w:r>
          </w:p>
        </w:tc>
        <w:tc>
          <w:tcPr>
            <w:tcW w:w="843" w:type="pct"/>
            <w:tcBorders>
              <w:top w:val="single" w:sz="4" w:space="0" w:color="auto"/>
              <w:left w:val="nil"/>
              <w:bottom w:val="single" w:sz="4" w:space="0" w:color="auto"/>
              <w:right w:val="single" w:sz="4" w:space="0" w:color="auto"/>
            </w:tcBorders>
            <w:shd w:val="clear" w:color="auto" w:fill="FFFFFF" w:themeFill="background1"/>
            <w:vAlign w:val="bottom"/>
          </w:tcPr>
          <w:p w:rsidR="0007453F" w:rsidRPr="00225EE7" w:rsidRDefault="0007453F" w:rsidP="001B68AA">
            <w:pPr>
              <w:jc w:val="center"/>
              <w:rPr>
                <w:rFonts w:ascii="Calibri" w:hAnsi="Calibri" w:cs="Calibri"/>
                <w:color w:val="000000"/>
                <w:sz w:val="20"/>
                <w:szCs w:val="20"/>
              </w:rPr>
            </w:pPr>
            <w:r w:rsidRPr="00225EE7">
              <w:rPr>
                <w:rFonts w:ascii="Calibri" w:hAnsi="Calibri" w:cs="Calibri"/>
                <w:color w:val="000000"/>
                <w:sz w:val="20"/>
                <w:szCs w:val="20"/>
              </w:rPr>
              <w:t>11.9</w:t>
            </w:r>
          </w:p>
        </w:tc>
      </w:tr>
    </w:tbl>
    <w:p w:rsidR="007127CC" w:rsidRPr="000C0C93" w:rsidRDefault="007127CC" w:rsidP="007127CC">
      <w:pPr>
        <w:tabs>
          <w:tab w:val="left" w:pos="217"/>
        </w:tabs>
        <w:rPr>
          <w:lang w:val="en-GB"/>
        </w:rPr>
      </w:pPr>
    </w:p>
    <w:p w:rsidR="007127CC" w:rsidRPr="000C0C93" w:rsidRDefault="007127CC" w:rsidP="00FF2F7C">
      <w:pPr>
        <w:pStyle w:val="Heading2"/>
        <w:numPr>
          <w:ilvl w:val="1"/>
          <w:numId w:val="8"/>
        </w:numPr>
        <w:ind w:left="576" w:hanging="576"/>
      </w:pPr>
      <w:bookmarkStart w:id="27" w:name="_Toc354739374"/>
      <w:bookmarkStart w:id="28" w:name="_Toc354742398"/>
      <w:bookmarkStart w:id="29" w:name="_Toc354742606"/>
      <w:bookmarkStart w:id="30" w:name="_Toc361219267"/>
      <w:bookmarkStart w:id="31" w:name="_Toc369887009"/>
      <w:r w:rsidRPr="000C0C93">
        <w:t xml:space="preserve">Ranking order </w:t>
      </w:r>
      <w:r>
        <w:t>for</w:t>
      </w:r>
      <w:r w:rsidRPr="000C0C93">
        <w:t xml:space="preserve"> the 7 fastest growing marine and maritime </w:t>
      </w:r>
      <w:r>
        <w:t>economic activities</w:t>
      </w:r>
      <w:r w:rsidRPr="000C0C93">
        <w:t xml:space="preserve"> over</w:t>
      </w:r>
      <w:r>
        <w:t xml:space="preserve"> the</w:t>
      </w:r>
      <w:r w:rsidRPr="000C0C93">
        <w:t xml:space="preserve"> 3 past years</w:t>
      </w:r>
      <w:bookmarkEnd w:id="27"/>
      <w:bookmarkEnd w:id="28"/>
      <w:bookmarkEnd w:id="29"/>
      <w:bookmarkEnd w:id="30"/>
      <w:bookmarkEnd w:id="31"/>
    </w:p>
    <w:p w:rsidR="007368F6" w:rsidRDefault="007368F6" w:rsidP="007368F6">
      <w:pPr>
        <w:rPr>
          <w:lang w:val="en-GB"/>
        </w:rPr>
      </w:pPr>
      <w:bookmarkStart w:id="32" w:name="_Toc354739375"/>
      <w:bookmarkStart w:id="33" w:name="_Toc354742399"/>
      <w:bookmarkStart w:id="34" w:name="_Toc354742607"/>
      <w:bookmarkStart w:id="35" w:name="_Toc361219268"/>
      <w:r>
        <w:rPr>
          <w:lang w:val="en-GB"/>
        </w:rPr>
        <w:t>This section identifies and selects</w:t>
      </w:r>
      <w:r w:rsidRPr="00084EB3">
        <w:rPr>
          <w:lang w:val="en-GB"/>
        </w:rPr>
        <w:t xml:space="preserve"> the 7 fastest growing </w:t>
      </w:r>
      <w:r w:rsidRPr="00CD2C69">
        <w:rPr>
          <w:lang w:val="en-GB"/>
        </w:rPr>
        <w:t>maritime economic activities as emerged</w:t>
      </w:r>
      <w:r w:rsidRPr="000C0C93">
        <w:rPr>
          <w:lang w:val="en-GB"/>
        </w:rPr>
        <w:t xml:space="preserve"> </w:t>
      </w:r>
      <w:r w:rsidRPr="00273031">
        <w:rPr>
          <w:b/>
          <w:u w:val="single"/>
          <w:lang w:val="en-GB"/>
        </w:rPr>
        <w:t>over the past 3 years</w:t>
      </w:r>
      <w:r w:rsidRPr="000C0C93">
        <w:rPr>
          <w:lang w:val="en-GB"/>
        </w:rPr>
        <w:t xml:space="preserve">. </w:t>
      </w:r>
      <w:r>
        <w:rPr>
          <w:lang w:val="en-GB"/>
        </w:rPr>
        <w:t>This part of the analysis is essential for forecasting future trends. The a</w:t>
      </w:r>
      <w:r w:rsidRPr="000C0C93">
        <w:rPr>
          <w:lang w:val="en-GB"/>
        </w:rPr>
        <w:t xml:space="preserve">nalysis entails the aggregation and assessment of quantitative data for </w:t>
      </w:r>
      <w:r>
        <w:rPr>
          <w:lang w:val="en-GB"/>
        </w:rPr>
        <w:t>the</w:t>
      </w:r>
      <w:r w:rsidRPr="000C0C93">
        <w:rPr>
          <w:lang w:val="en-GB"/>
        </w:rPr>
        <w:t xml:space="preserve"> </w:t>
      </w:r>
      <w:r>
        <w:rPr>
          <w:lang w:val="en-GB"/>
        </w:rPr>
        <w:t>maritime economic activities,</w:t>
      </w:r>
      <w:r w:rsidRPr="000C0C93">
        <w:rPr>
          <w:lang w:val="en-GB"/>
        </w:rPr>
        <w:t xml:space="preserve"> applying the same approach as in the previous task</w:t>
      </w:r>
      <w:r>
        <w:rPr>
          <w:lang w:val="en-GB"/>
        </w:rPr>
        <w:t xml:space="preserve">. on </w:t>
      </w:r>
      <w:r w:rsidRPr="00977A8C">
        <w:rPr>
          <w:lang w:val="en-GB"/>
        </w:rPr>
        <w:t xml:space="preserve">statistical information gathered supplemented with </w:t>
      </w:r>
      <w:r>
        <w:rPr>
          <w:lang w:val="en-GB"/>
        </w:rPr>
        <w:t xml:space="preserve">the insights of the sector experts and the </w:t>
      </w:r>
      <w:r w:rsidR="005E555B">
        <w:rPr>
          <w:lang w:val="en-GB"/>
        </w:rPr>
        <w:t>country editors</w:t>
      </w:r>
      <w:r>
        <w:rPr>
          <w:lang w:val="en-GB"/>
        </w:rPr>
        <w:t xml:space="preserve"> where applicable.</w:t>
      </w:r>
    </w:p>
    <w:p w:rsidR="007368F6" w:rsidRPr="00BA79E0" w:rsidRDefault="007368F6" w:rsidP="007368F6">
      <w:pPr>
        <w:pStyle w:val="Caption"/>
      </w:pPr>
      <w:r w:rsidRPr="00BA79E0">
        <w:lastRenderedPageBreak/>
        <w:t xml:space="preserve">Table </w:t>
      </w:r>
      <w:r>
        <w:t>5</w:t>
      </w:r>
      <w:r w:rsidRPr="00BA79E0">
        <w:t xml:space="preserve"> - Ranking order of the 7 fastest growing maritime </w:t>
      </w:r>
      <w:r>
        <w:t>economic activities</w:t>
      </w:r>
      <w:r w:rsidRPr="00BA79E0">
        <w:t xml:space="preserve"> in </w:t>
      </w:r>
      <w:r w:rsidR="003A06CE">
        <w:t>France</w:t>
      </w:r>
      <w:r>
        <w:rPr>
          <w:rStyle w:val="FootnoteReference"/>
        </w:rPr>
        <w:footnoteReference w:id="118"/>
      </w:r>
    </w:p>
    <w:tbl>
      <w:tblPr>
        <w:tblW w:w="9463" w:type="dxa"/>
        <w:jc w:val="center"/>
        <w:tblInd w:w="-2541" w:type="dxa"/>
        <w:tblLook w:val="04A0" w:firstRow="1" w:lastRow="0" w:firstColumn="1" w:lastColumn="0" w:noHBand="0" w:noVBand="1"/>
      </w:tblPr>
      <w:tblGrid>
        <w:gridCol w:w="631"/>
        <w:gridCol w:w="4615"/>
        <w:gridCol w:w="1330"/>
        <w:gridCol w:w="1326"/>
        <w:gridCol w:w="1561"/>
      </w:tblGrid>
      <w:tr w:rsidR="007368F6" w:rsidRPr="00006C05" w:rsidTr="00E34B4A">
        <w:trPr>
          <w:trHeight w:val="454"/>
          <w:jc w:val="center"/>
        </w:trPr>
        <w:tc>
          <w:tcPr>
            <w:tcW w:w="63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368F6" w:rsidRPr="00C4598A" w:rsidRDefault="007368F6" w:rsidP="00E34B4A">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Rank</w:t>
            </w:r>
          </w:p>
        </w:tc>
        <w:tc>
          <w:tcPr>
            <w:tcW w:w="4615" w:type="dxa"/>
            <w:tcBorders>
              <w:top w:val="single" w:sz="4" w:space="0" w:color="auto"/>
              <w:left w:val="single" w:sz="4" w:space="0" w:color="auto"/>
              <w:bottom w:val="single" w:sz="4" w:space="0" w:color="auto"/>
              <w:right w:val="single" w:sz="4" w:space="0" w:color="auto"/>
            </w:tcBorders>
            <w:shd w:val="clear" w:color="000000" w:fill="DBE5F1"/>
            <w:vAlign w:val="center"/>
          </w:tcPr>
          <w:p w:rsidR="007368F6" w:rsidRPr="00C4598A" w:rsidRDefault="007368F6" w:rsidP="00E34B4A">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Maritime economic activities</w:t>
            </w:r>
          </w:p>
        </w:tc>
        <w:tc>
          <w:tcPr>
            <w:tcW w:w="1330" w:type="dxa"/>
            <w:tcBorders>
              <w:top w:val="single" w:sz="4" w:space="0" w:color="auto"/>
              <w:left w:val="single" w:sz="4" w:space="0" w:color="auto"/>
              <w:bottom w:val="single" w:sz="4" w:space="0" w:color="auto"/>
              <w:right w:val="single" w:sz="4" w:space="0" w:color="auto"/>
            </w:tcBorders>
            <w:shd w:val="clear" w:color="000000" w:fill="DBE5F1"/>
            <w:vAlign w:val="center"/>
          </w:tcPr>
          <w:p w:rsidR="007368F6" w:rsidRPr="00C4598A" w:rsidRDefault="007368F6" w:rsidP="00E34B4A">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Growth 2008-2010 (CAGR)</w:t>
            </w:r>
          </w:p>
        </w:tc>
        <w:tc>
          <w:tcPr>
            <w:tcW w:w="1326" w:type="dxa"/>
            <w:tcBorders>
              <w:top w:val="single" w:sz="4" w:space="0" w:color="auto"/>
              <w:left w:val="single" w:sz="4" w:space="0" w:color="auto"/>
              <w:bottom w:val="single" w:sz="4" w:space="0" w:color="auto"/>
              <w:right w:val="single" w:sz="4" w:space="0" w:color="auto"/>
            </w:tcBorders>
            <w:shd w:val="clear" w:color="000000" w:fill="DBE5F1"/>
            <w:vAlign w:val="center"/>
          </w:tcPr>
          <w:p w:rsidR="007368F6" w:rsidRPr="00C4598A" w:rsidRDefault="007368F6" w:rsidP="004A7BB1">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Growth 20</w:t>
            </w:r>
            <w:r w:rsidR="004A7BB1">
              <w:rPr>
                <w:rFonts w:ascii="Calibri" w:eastAsia="Times New Roman" w:hAnsi="Calibri" w:cs="Times New Roman"/>
                <w:b/>
                <w:bCs/>
                <w:color w:val="000000"/>
                <w:sz w:val="20"/>
                <w:lang w:val="en-GB" w:eastAsia="en-GB"/>
              </w:rPr>
              <w:t>0</w:t>
            </w:r>
            <w:r>
              <w:rPr>
                <w:rFonts w:ascii="Calibri" w:eastAsia="Times New Roman" w:hAnsi="Calibri" w:cs="Times New Roman"/>
                <w:b/>
                <w:bCs/>
                <w:color w:val="000000"/>
                <w:sz w:val="20"/>
                <w:lang w:val="en-GB" w:eastAsia="en-GB"/>
              </w:rPr>
              <w:t>0-2012 (CAGR)</w:t>
            </w:r>
          </w:p>
        </w:tc>
        <w:tc>
          <w:tcPr>
            <w:tcW w:w="1561" w:type="dxa"/>
            <w:tcBorders>
              <w:top w:val="single" w:sz="4" w:space="0" w:color="auto"/>
              <w:left w:val="single" w:sz="4" w:space="0" w:color="auto"/>
              <w:bottom w:val="single" w:sz="4" w:space="0" w:color="auto"/>
              <w:right w:val="single" w:sz="4" w:space="0" w:color="auto"/>
            </w:tcBorders>
            <w:shd w:val="clear" w:color="000000" w:fill="DBE5F1"/>
            <w:vAlign w:val="center"/>
          </w:tcPr>
          <w:p w:rsidR="007368F6" w:rsidRDefault="007368F6" w:rsidP="00E34B4A">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Score (based on 2008-2010)</w:t>
            </w:r>
          </w:p>
        </w:tc>
      </w:tr>
      <w:tr w:rsidR="007368F6" w:rsidRPr="00291AEC" w:rsidTr="00E34B4A">
        <w:trPr>
          <w:trHeight w:val="389"/>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F6" w:rsidRPr="00006C05" w:rsidRDefault="007368F6" w:rsidP="00E34B4A">
            <w:pPr>
              <w:keepNext/>
              <w:keepLines/>
              <w:spacing w:before="0"/>
              <w:jc w:val="center"/>
              <w:rPr>
                <w:rFonts w:ascii="Calibri" w:eastAsia="Times New Roman" w:hAnsi="Calibri" w:cs="Times New Roman"/>
                <w:color w:val="000000"/>
                <w:lang w:val="en-GB" w:eastAsia="en-GB"/>
              </w:rPr>
            </w:pPr>
            <w:r w:rsidRPr="000C0C93">
              <w:rPr>
                <w:rFonts w:ascii="Calibri" w:eastAsia="Times New Roman" w:hAnsi="Calibri" w:cs="Times New Roman"/>
                <w:b/>
                <w:bCs/>
                <w:color w:val="000000"/>
                <w:sz w:val="20"/>
                <w:lang w:val="en-GB" w:eastAsia="en-GB"/>
              </w:rPr>
              <w:t>1.</w:t>
            </w:r>
          </w:p>
        </w:tc>
        <w:tc>
          <w:tcPr>
            <w:tcW w:w="4615" w:type="dxa"/>
            <w:tcBorders>
              <w:top w:val="single" w:sz="4" w:space="0" w:color="auto"/>
              <w:left w:val="nil"/>
              <w:bottom w:val="single" w:sz="4" w:space="0" w:color="auto"/>
              <w:right w:val="single" w:sz="4" w:space="0" w:color="auto"/>
            </w:tcBorders>
            <w:shd w:val="clear" w:color="auto" w:fill="auto"/>
            <w:vAlign w:val="center"/>
          </w:tcPr>
          <w:p w:rsidR="007368F6" w:rsidRPr="007F22B2" w:rsidRDefault="007368F6" w:rsidP="00E34B4A">
            <w:pPr>
              <w:keepNext/>
              <w:keepLines/>
              <w:spacing w:before="0"/>
              <w:jc w:val="left"/>
              <w:rPr>
                <w:rFonts w:eastAsia="Times New Roman" w:cstheme="minorHAnsi"/>
                <w:color w:val="000000"/>
                <w:lang w:val="en-GB" w:eastAsia="en-GB"/>
              </w:rPr>
            </w:pPr>
            <w:r w:rsidRPr="007F22B2">
              <w:rPr>
                <w:rFonts w:eastAsia="Times New Roman" w:cstheme="minorHAnsi"/>
                <w:color w:val="000000"/>
                <w:lang w:val="en-GB" w:eastAsia="en-GB"/>
              </w:rPr>
              <w:t>Cruise tourism</w:t>
            </w:r>
          </w:p>
        </w:tc>
        <w:tc>
          <w:tcPr>
            <w:tcW w:w="1330" w:type="dxa"/>
            <w:tcBorders>
              <w:top w:val="single" w:sz="4" w:space="0" w:color="auto"/>
              <w:left w:val="nil"/>
              <w:bottom w:val="single" w:sz="4" w:space="0" w:color="auto"/>
              <w:right w:val="single" w:sz="4" w:space="0" w:color="auto"/>
            </w:tcBorders>
            <w:shd w:val="clear" w:color="auto" w:fill="auto"/>
            <w:vAlign w:val="center"/>
          </w:tcPr>
          <w:p w:rsidR="007368F6" w:rsidRPr="003D46EA" w:rsidRDefault="007368F6" w:rsidP="00E34B4A">
            <w:pPr>
              <w:keepNext/>
              <w:keepLines/>
              <w:spacing w:before="0"/>
              <w:contextualSpacing/>
              <w:jc w:val="center"/>
              <w:rPr>
                <w:rFonts w:cstheme="minorHAnsi"/>
                <w:lang w:val="en-GB" w:eastAsia="en-GB"/>
              </w:rPr>
            </w:pPr>
            <w:r w:rsidRPr="003D46EA">
              <w:rPr>
                <w:rFonts w:cstheme="minorHAnsi"/>
                <w:lang w:val="en-GB" w:eastAsia="en-GB"/>
              </w:rPr>
              <w:t>25.1%</w:t>
            </w:r>
          </w:p>
        </w:tc>
        <w:tc>
          <w:tcPr>
            <w:tcW w:w="1326"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10.9</w:t>
            </w:r>
            <w:r w:rsidRPr="00225EE7">
              <w:rPr>
                <w:rFonts w:cstheme="minorHAnsi"/>
                <w:color w:val="000000"/>
                <w:lang w:val="en-GB" w:eastAsia="en-GB"/>
              </w:rPr>
              <w:t>%</w:t>
            </w:r>
          </w:p>
        </w:tc>
        <w:tc>
          <w:tcPr>
            <w:tcW w:w="1561"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sidRPr="00225EE7">
              <w:rPr>
                <w:rFonts w:cstheme="minorHAnsi"/>
                <w:color w:val="000000"/>
                <w:lang w:val="en-GB" w:eastAsia="en-GB"/>
              </w:rPr>
              <w:t>25.1</w:t>
            </w:r>
          </w:p>
        </w:tc>
      </w:tr>
      <w:tr w:rsidR="007368F6" w:rsidRPr="00D9186D" w:rsidTr="00E34B4A">
        <w:trPr>
          <w:trHeight w:val="389"/>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F6" w:rsidRPr="00006C05" w:rsidRDefault="007368F6" w:rsidP="00E34B4A">
            <w:pPr>
              <w:keepNext/>
              <w:keepLines/>
              <w:spacing w:before="0"/>
              <w:jc w:val="center"/>
              <w:rPr>
                <w:rFonts w:ascii="Calibri" w:eastAsia="Times New Roman" w:hAnsi="Calibri" w:cs="Times New Roman"/>
                <w:color w:val="000000"/>
                <w:lang w:val="en-GB" w:eastAsia="en-GB"/>
              </w:rPr>
            </w:pPr>
            <w:r w:rsidRPr="000C0C93">
              <w:rPr>
                <w:rFonts w:ascii="Calibri" w:eastAsia="Times New Roman" w:hAnsi="Calibri" w:cs="Times New Roman"/>
                <w:b/>
                <w:bCs/>
                <w:color w:val="000000"/>
                <w:sz w:val="20"/>
                <w:lang w:val="en-GB" w:eastAsia="en-GB"/>
              </w:rPr>
              <w:t>2.</w:t>
            </w:r>
          </w:p>
        </w:tc>
        <w:tc>
          <w:tcPr>
            <w:tcW w:w="4615" w:type="dxa"/>
            <w:tcBorders>
              <w:top w:val="single" w:sz="4" w:space="0" w:color="auto"/>
              <w:left w:val="nil"/>
              <w:bottom w:val="single" w:sz="4" w:space="0" w:color="auto"/>
              <w:right w:val="single" w:sz="4" w:space="0" w:color="auto"/>
            </w:tcBorders>
            <w:shd w:val="clear" w:color="auto" w:fill="auto"/>
            <w:vAlign w:val="center"/>
          </w:tcPr>
          <w:p w:rsidR="007368F6" w:rsidRPr="007F22B2" w:rsidRDefault="007368F6" w:rsidP="00E34B4A">
            <w:pPr>
              <w:keepNext/>
              <w:keepLines/>
              <w:spacing w:before="0"/>
              <w:jc w:val="left"/>
              <w:rPr>
                <w:rFonts w:eastAsia="Times New Roman" w:cstheme="minorHAnsi"/>
                <w:color w:val="000000"/>
                <w:lang w:val="en-GB" w:eastAsia="en-GB"/>
              </w:rPr>
            </w:pPr>
            <w:r w:rsidRPr="007F22B2">
              <w:rPr>
                <w:rFonts w:eastAsia="Times New Roman" w:cstheme="minorHAnsi"/>
                <w:color w:val="000000"/>
                <w:lang w:val="en-GB" w:eastAsia="en-GB"/>
              </w:rPr>
              <w:t>Shipbuilding (incl. leisure boats) and ship repair</w:t>
            </w:r>
          </w:p>
        </w:tc>
        <w:tc>
          <w:tcPr>
            <w:tcW w:w="1330" w:type="dxa"/>
            <w:tcBorders>
              <w:top w:val="single" w:sz="4" w:space="0" w:color="auto"/>
              <w:left w:val="nil"/>
              <w:bottom w:val="single" w:sz="4" w:space="0" w:color="auto"/>
              <w:right w:val="single" w:sz="4" w:space="0" w:color="auto"/>
            </w:tcBorders>
            <w:shd w:val="clear" w:color="auto" w:fill="auto"/>
            <w:vAlign w:val="center"/>
          </w:tcPr>
          <w:p w:rsidR="007368F6" w:rsidRPr="003D46EA" w:rsidRDefault="007368F6" w:rsidP="00E34B4A">
            <w:pPr>
              <w:keepNext/>
              <w:keepLines/>
              <w:spacing w:before="0"/>
              <w:contextualSpacing/>
              <w:jc w:val="center"/>
              <w:rPr>
                <w:rFonts w:cstheme="minorHAnsi"/>
                <w:color w:val="000000"/>
                <w:lang w:val="en-GB" w:eastAsia="en-GB"/>
              </w:rPr>
            </w:pPr>
            <w:r w:rsidRPr="003D46EA">
              <w:rPr>
                <w:rFonts w:cstheme="minorHAnsi"/>
                <w:color w:val="000000"/>
                <w:lang w:val="en-GB" w:eastAsia="en-GB"/>
              </w:rPr>
              <w:t>10.7%</w:t>
            </w:r>
          </w:p>
        </w:tc>
        <w:tc>
          <w:tcPr>
            <w:tcW w:w="1326"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-2.0%</w:t>
            </w:r>
          </w:p>
        </w:tc>
        <w:tc>
          <w:tcPr>
            <w:tcW w:w="1561"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sidRPr="00225EE7">
              <w:rPr>
                <w:rFonts w:cstheme="minorHAnsi"/>
                <w:color w:val="000000"/>
                <w:lang w:val="en-GB" w:eastAsia="en-GB"/>
              </w:rPr>
              <w:t>10.7</w:t>
            </w:r>
          </w:p>
        </w:tc>
      </w:tr>
      <w:tr w:rsidR="007368F6" w:rsidRPr="00D9186D" w:rsidTr="00E34B4A">
        <w:trPr>
          <w:trHeight w:val="389"/>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7368F6" w:rsidRDefault="007368F6" w:rsidP="00E34B4A">
            <w:pPr>
              <w:keepNext/>
              <w:keepLines/>
              <w:spacing w:before="0"/>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3.</w:t>
            </w:r>
          </w:p>
        </w:tc>
        <w:tc>
          <w:tcPr>
            <w:tcW w:w="4615" w:type="dxa"/>
            <w:tcBorders>
              <w:top w:val="single" w:sz="4" w:space="0" w:color="auto"/>
              <w:left w:val="nil"/>
              <w:bottom w:val="single" w:sz="4" w:space="0" w:color="auto"/>
              <w:right w:val="single" w:sz="4" w:space="0" w:color="auto"/>
            </w:tcBorders>
            <w:shd w:val="clear" w:color="auto" w:fill="auto"/>
            <w:vAlign w:val="center"/>
          </w:tcPr>
          <w:p w:rsidR="007368F6" w:rsidRPr="007F22B2" w:rsidRDefault="007368F6" w:rsidP="00E34B4A">
            <w:pPr>
              <w:keepNext/>
              <w:keepLines/>
              <w:spacing w:before="0"/>
              <w:jc w:val="left"/>
              <w:rPr>
                <w:rFonts w:eastAsia="Times New Roman" w:cstheme="minorHAnsi"/>
                <w:color w:val="000000"/>
                <w:lang w:val="en-GB" w:eastAsia="en-GB"/>
              </w:rPr>
            </w:pPr>
            <w:r>
              <w:rPr>
                <w:rFonts w:eastAsia="Times New Roman" w:cstheme="minorHAnsi"/>
                <w:color w:val="000000"/>
                <w:lang w:val="en-GB" w:eastAsia="en-GB"/>
              </w:rPr>
              <w:t>Aggregates mining</w:t>
            </w:r>
          </w:p>
        </w:tc>
        <w:tc>
          <w:tcPr>
            <w:tcW w:w="1330" w:type="dxa"/>
            <w:tcBorders>
              <w:top w:val="single" w:sz="4" w:space="0" w:color="auto"/>
              <w:left w:val="nil"/>
              <w:bottom w:val="single" w:sz="4" w:space="0" w:color="auto"/>
              <w:right w:val="single" w:sz="4" w:space="0" w:color="auto"/>
            </w:tcBorders>
            <w:shd w:val="clear" w:color="auto" w:fill="auto"/>
            <w:vAlign w:val="center"/>
          </w:tcPr>
          <w:p w:rsidR="007368F6" w:rsidRPr="003D46EA"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7.4%</w:t>
            </w:r>
          </w:p>
        </w:tc>
        <w:tc>
          <w:tcPr>
            <w:tcW w:w="1326"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n/a</w:t>
            </w:r>
          </w:p>
        </w:tc>
        <w:tc>
          <w:tcPr>
            <w:tcW w:w="1561"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7.4</w:t>
            </w:r>
          </w:p>
        </w:tc>
      </w:tr>
      <w:tr w:rsidR="007368F6" w:rsidRPr="00D9186D" w:rsidTr="00E34B4A">
        <w:trPr>
          <w:trHeight w:val="389"/>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F6" w:rsidRPr="00006C05" w:rsidRDefault="007368F6" w:rsidP="00E34B4A">
            <w:pPr>
              <w:keepNext/>
              <w:keepLines/>
              <w:spacing w:before="0"/>
              <w:jc w:val="center"/>
              <w:rPr>
                <w:rFonts w:ascii="Calibri" w:eastAsia="Times New Roman" w:hAnsi="Calibri" w:cs="Times New Roman"/>
                <w:color w:val="000000"/>
                <w:lang w:val="en-GB" w:eastAsia="en-GB"/>
              </w:rPr>
            </w:pPr>
            <w:r>
              <w:rPr>
                <w:rFonts w:ascii="Calibri" w:eastAsia="Times New Roman" w:hAnsi="Calibri" w:cs="Times New Roman"/>
                <w:b/>
                <w:bCs/>
                <w:color w:val="000000"/>
                <w:sz w:val="20"/>
                <w:lang w:val="en-GB" w:eastAsia="en-GB"/>
              </w:rPr>
              <w:t>4.</w:t>
            </w:r>
          </w:p>
        </w:tc>
        <w:tc>
          <w:tcPr>
            <w:tcW w:w="4615" w:type="dxa"/>
            <w:tcBorders>
              <w:top w:val="single" w:sz="4" w:space="0" w:color="auto"/>
              <w:left w:val="nil"/>
              <w:bottom w:val="single" w:sz="4" w:space="0" w:color="auto"/>
              <w:right w:val="single" w:sz="4" w:space="0" w:color="auto"/>
            </w:tcBorders>
            <w:shd w:val="clear" w:color="auto" w:fill="auto"/>
            <w:vAlign w:val="center"/>
          </w:tcPr>
          <w:p w:rsidR="007368F6" w:rsidRPr="007F22B2" w:rsidRDefault="007368F6" w:rsidP="00E34B4A">
            <w:pPr>
              <w:keepNext/>
              <w:keepLines/>
              <w:spacing w:before="0"/>
              <w:jc w:val="left"/>
              <w:rPr>
                <w:rFonts w:eastAsia="Times New Roman" w:cstheme="minorHAnsi"/>
                <w:color w:val="000000"/>
                <w:lang w:val="en-GB" w:eastAsia="en-GB"/>
              </w:rPr>
            </w:pPr>
            <w:r w:rsidRPr="007F22B2">
              <w:rPr>
                <w:rFonts w:eastAsia="Times New Roman" w:cstheme="minorHAnsi"/>
                <w:color w:val="000000"/>
                <w:lang w:val="en-GB" w:eastAsia="en-GB"/>
              </w:rPr>
              <w:t>Catching fish for human consumption</w:t>
            </w:r>
          </w:p>
        </w:tc>
        <w:tc>
          <w:tcPr>
            <w:tcW w:w="1330" w:type="dxa"/>
            <w:tcBorders>
              <w:top w:val="single" w:sz="4" w:space="0" w:color="auto"/>
              <w:left w:val="nil"/>
              <w:bottom w:val="single" w:sz="4" w:space="0" w:color="auto"/>
              <w:right w:val="single" w:sz="4" w:space="0" w:color="auto"/>
            </w:tcBorders>
            <w:shd w:val="clear" w:color="auto" w:fill="auto"/>
            <w:vAlign w:val="center"/>
          </w:tcPr>
          <w:p w:rsidR="007368F6" w:rsidRPr="003D46EA" w:rsidRDefault="007368F6" w:rsidP="00E34B4A">
            <w:pPr>
              <w:keepNext/>
              <w:keepLines/>
              <w:spacing w:before="0"/>
              <w:contextualSpacing/>
              <w:jc w:val="center"/>
              <w:rPr>
                <w:rFonts w:cstheme="minorHAnsi"/>
                <w:color w:val="000000"/>
                <w:lang w:val="en-GB" w:eastAsia="en-GB"/>
              </w:rPr>
            </w:pPr>
            <w:r w:rsidRPr="003D46EA">
              <w:rPr>
                <w:rFonts w:cstheme="minorHAnsi"/>
                <w:color w:val="000000"/>
                <w:lang w:val="en-GB" w:eastAsia="en-GB"/>
              </w:rPr>
              <w:t>2.3%</w:t>
            </w:r>
          </w:p>
        </w:tc>
        <w:tc>
          <w:tcPr>
            <w:tcW w:w="1326"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1.7</w:t>
            </w:r>
            <w:r w:rsidRPr="00225EE7">
              <w:rPr>
                <w:rFonts w:cstheme="minorHAnsi"/>
                <w:color w:val="000000"/>
                <w:lang w:val="en-GB" w:eastAsia="en-GB"/>
              </w:rPr>
              <w:t>%</w:t>
            </w:r>
          </w:p>
        </w:tc>
        <w:tc>
          <w:tcPr>
            <w:tcW w:w="1561"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sidRPr="00225EE7">
              <w:rPr>
                <w:rFonts w:cstheme="minorHAnsi"/>
                <w:color w:val="000000"/>
                <w:lang w:val="en-GB" w:eastAsia="en-GB"/>
              </w:rPr>
              <w:t>2.3</w:t>
            </w:r>
          </w:p>
        </w:tc>
      </w:tr>
      <w:tr w:rsidR="007368F6" w:rsidRPr="00D9186D" w:rsidTr="00E34B4A">
        <w:trPr>
          <w:trHeight w:val="389"/>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F6" w:rsidRPr="00006C05" w:rsidRDefault="007368F6" w:rsidP="00E34B4A">
            <w:pPr>
              <w:keepNext/>
              <w:keepLines/>
              <w:spacing w:before="0"/>
              <w:jc w:val="center"/>
              <w:rPr>
                <w:rFonts w:ascii="Calibri" w:eastAsia="Times New Roman" w:hAnsi="Calibri" w:cs="Times New Roman"/>
                <w:color w:val="000000"/>
                <w:lang w:val="en-GB" w:eastAsia="en-GB"/>
              </w:rPr>
            </w:pPr>
            <w:r>
              <w:rPr>
                <w:rFonts w:ascii="Calibri" w:eastAsia="Times New Roman" w:hAnsi="Calibri" w:cs="Times New Roman"/>
                <w:b/>
                <w:bCs/>
                <w:color w:val="000000"/>
                <w:sz w:val="20"/>
                <w:lang w:val="en-GB" w:eastAsia="en-GB"/>
              </w:rPr>
              <w:t>5.</w:t>
            </w:r>
          </w:p>
        </w:tc>
        <w:tc>
          <w:tcPr>
            <w:tcW w:w="4615" w:type="dxa"/>
            <w:tcBorders>
              <w:top w:val="single" w:sz="4" w:space="0" w:color="auto"/>
              <w:left w:val="nil"/>
              <w:bottom w:val="single" w:sz="4" w:space="0" w:color="auto"/>
              <w:right w:val="single" w:sz="4" w:space="0" w:color="auto"/>
            </w:tcBorders>
            <w:shd w:val="clear" w:color="auto" w:fill="auto"/>
            <w:vAlign w:val="center"/>
          </w:tcPr>
          <w:p w:rsidR="007368F6" w:rsidRPr="007F22B2" w:rsidRDefault="007368F6" w:rsidP="00E34B4A">
            <w:pPr>
              <w:keepNext/>
              <w:keepLines/>
              <w:spacing w:before="0"/>
              <w:jc w:val="left"/>
              <w:rPr>
                <w:rFonts w:eastAsia="Times New Roman" w:cstheme="minorHAnsi"/>
                <w:color w:val="000000"/>
                <w:lang w:val="en-GB" w:eastAsia="en-GB"/>
              </w:rPr>
            </w:pPr>
            <w:r w:rsidRPr="007F22B2">
              <w:rPr>
                <w:rFonts w:eastAsia="Times New Roman" w:cstheme="minorHAnsi"/>
                <w:color w:val="000000"/>
                <w:lang w:val="en-GB" w:eastAsia="en-GB"/>
              </w:rPr>
              <w:t>Catching fish for animal feeding</w:t>
            </w:r>
          </w:p>
        </w:tc>
        <w:tc>
          <w:tcPr>
            <w:tcW w:w="1330" w:type="dxa"/>
            <w:tcBorders>
              <w:top w:val="single" w:sz="4" w:space="0" w:color="auto"/>
              <w:left w:val="nil"/>
              <w:bottom w:val="single" w:sz="4" w:space="0" w:color="auto"/>
              <w:right w:val="single" w:sz="4" w:space="0" w:color="auto"/>
            </w:tcBorders>
            <w:shd w:val="clear" w:color="auto" w:fill="auto"/>
            <w:vAlign w:val="center"/>
          </w:tcPr>
          <w:p w:rsidR="007368F6" w:rsidRPr="003D46EA" w:rsidRDefault="007368F6" w:rsidP="00E34B4A">
            <w:pPr>
              <w:keepNext/>
              <w:keepLines/>
              <w:spacing w:before="0"/>
              <w:contextualSpacing/>
              <w:jc w:val="center"/>
              <w:rPr>
                <w:rFonts w:cstheme="minorHAnsi"/>
                <w:color w:val="000000"/>
                <w:lang w:val="en-GB" w:eastAsia="en-GB"/>
              </w:rPr>
            </w:pPr>
            <w:r w:rsidRPr="003D46EA">
              <w:rPr>
                <w:rFonts w:cstheme="minorHAnsi"/>
                <w:color w:val="000000"/>
                <w:lang w:val="en-GB" w:eastAsia="en-GB"/>
              </w:rPr>
              <w:t>2.3%</w:t>
            </w:r>
          </w:p>
        </w:tc>
        <w:tc>
          <w:tcPr>
            <w:tcW w:w="1326"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1.7</w:t>
            </w:r>
            <w:r w:rsidRPr="00225EE7">
              <w:rPr>
                <w:rFonts w:cstheme="minorHAnsi"/>
                <w:color w:val="000000"/>
                <w:lang w:val="en-GB" w:eastAsia="en-GB"/>
              </w:rPr>
              <w:t>%</w:t>
            </w:r>
          </w:p>
        </w:tc>
        <w:tc>
          <w:tcPr>
            <w:tcW w:w="1561"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sidRPr="00225EE7">
              <w:rPr>
                <w:rFonts w:cstheme="minorHAnsi"/>
                <w:color w:val="000000"/>
                <w:lang w:val="en-GB" w:eastAsia="en-GB"/>
              </w:rPr>
              <w:t>2.3</w:t>
            </w:r>
          </w:p>
        </w:tc>
      </w:tr>
      <w:tr w:rsidR="007368F6" w:rsidRPr="00D9186D" w:rsidTr="00E34B4A">
        <w:trPr>
          <w:trHeight w:val="389"/>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7368F6" w:rsidRDefault="007368F6" w:rsidP="00E34B4A">
            <w:pPr>
              <w:keepNext/>
              <w:keepLines/>
              <w:spacing w:before="0"/>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6.</w:t>
            </w:r>
          </w:p>
        </w:tc>
        <w:tc>
          <w:tcPr>
            <w:tcW w:w="4615" w:type="dxa"/>
            <w:tcBorders>
              <w:top w:val="single" w:sz="4" w:space="0" w:color="auto"/>
              <w:left w:val="nil"/>
              <w:bottom w:val="single" w:sz="4" w:space="0" w:color="auto"/>
              <w:right w:val="single" w:sz="4" w:space="0" w:color="auto"/>
            </w:tcBorders>
            <w:shd w:val="clear" w:color="auto" w:fill="auto"/>
            <w:vAlign w:val="center"/>
          </w:tcPr>
          <w:p w:rsidR="007368F6" w:rsidRPr="007F22B2" w:rsidRDefault="007368F6" w:rsidP="00E34B4A">
            <w:pPr>
              <w:jc w:val="left"/>
              <w:rPr>
                <w:rFonts w:cstheme="minorHAnsi"/>
                <w:lang w:val="en-GB"/>
              </w:rPr>
            </w:pPr>
            <w:r>
              <w:rPr>
                <w:rFonts w:cstheme="minorHAnsi"/>
                <w:lang w:val="en-GB"/>
              </w:rPr>
              <w:t>Marine aquatic products</w:t>
            </w:r>
          </w:p>
        </w:tc>
        <w:tc>
          <w:tcPr>
            <w:tcW w:w="1330" w:type="dxa"/>
            <w:tcBorders>
              <w:top w:val="single" w:sz="4" w:space="0" w:color="auto"/>
              <w:left w:val="nil"/>
              <w:bottom w:val="single" w:sz="4" w:space="0" w:color="auto"/>
              <w:right w:val="single" w:sz="4" w:space="0" w:color="auto"/>
            </w:tcBorders>
            <w:shd w:val="clear" w:color="auto" w:fill="auto"/>
            <w:vAlign w:val="center"/>
          </w:tcPr>
          <w:p w:rsidR="007368F6" w:rsidRPr="003D46EA"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0.8%</w:t>
            </w:r>
          </w:p>
        </w:tc>
        <w:tc>
          <w:tcPr>
            <w:tcW w:w="1326" w:type="dxa"/>
            <w:tcBorders>
              <w:top w:val="single" w:sz="4" w:space="0" w:color="auto"/>
              <w:left w:val="nil"/>
              <w:bottom w:val="single" w:sz="4" w:space="0" w:color="auto"/>
              <w:right w:val="single" w:sz="4" w:space="0" w:color="auto"/>
            </w:tcBorders>
            <w:vAlign w:val="center"/>
          </w:tcPr>
          <w:p w:rsidR="007368F6"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n/a</w:t>
            </w:r>
          </w:p>
        </w:tc>
        <w:tc>
          <w:tcPr>
            <w:tcW w:w="1561" w:type="dxa"/>
            <w:tcBorders>
              <w:top w:val="single" w:sz="4" w:space="0" w:color="auto"/>
              <w:left w:val="nil"/>
              <w:bottom w:val="single" w:sz="4" w:space="0" w:color="auto"/>
              <w:right w:val="single" w:sz="4" w:space="0" w:color="auto"/>
            </w:tcBorders>
            <w:vAlign w:val="center"/>
          </w:tcPr>
          <w:p w:rsidR="007368F6" w:rsidRPr="00225EE7" w:rsidRDefault="007368F6" w:rsidP="00E34B4A">
            <w:pPr>
              <w:jc w:val="center"/>
              <w:rPr>
                <w:rFonts w:cstheme="minorHAnsi"/>
                <w:color w:val="000000"/>
                <w:lang w:val="en-GB" w:eastAsia="en-GB"/>
              </w:rPr>
            </w:pPr>
            <w:r>
              <w:rPr>
                <w:rFonts w:cstheme="minorHAnsi"/>
                <w:color w:val="000000"/>
                <w:lang w:val="en-GB" w:eastAsia="en-GB"/>
              </w:rPr>
              <w:t>0.8</w:t>
            </w:r>
          </w:p>
        </w:tc>
      </w:tr>
      <w:tr w:rsidR="007368F6" w:rsidRPr="00D9186D" w:rsidTr="00E34B4A">
        <w:trPr>
          <w:trHeight w:val="389"/>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F6" w:rsidRPr="00006C05" w:rsidRDefault="007368F6" w:rsidP="00E34B4A">
            <w:pPr>
              <w:keepNext/>
              <w:keepLines/>
              <w:spacing w:before="0"/>
              <w:jc w:val="center"/>
              <w:rPr>
                <w:rFonts w:ascii="Calibri" w:eastAsia="Times New Roman" w:hAnsi="Calibri" w:cs="Times New Roman"/>
                <w:color w:val="000000"/>
                <w:lang w:val="en-GB" w:eastAsia="en-GB"/>
              </w:rPr>
            </w:pPr>
            <w:r>
              <w:rPr>
                <w:rFonts w:ascii="Calibri" w:eastAsia="Times New Roman" w:hAnsi="Calibri" w:cs="Times New Roman"/>
                <w:b/>
                <w:bCs/>
                <w:color w:val="000000"/>
                <w:sz w:val="20"/>
                <w:lang w:val="en-GB" w:eastAsia="en-GB"/>
              </w:rPr>
              <w:t>7.</w:t>
            </w:r>
          </w:p>
        </w:tc>
        <w:tc>
          <w:tcPr>
            <w:tcW w:w="4615" w:type="dxa"/>
            <w:tcBorders>
              <w:top w:val="single" w:sz="4" w:space="0" w:color="auto"/>
              <w:left w:val="nil"/>
              <w:bottom w:val="single" w:sz="4" w:space="0" w:color="auto"/>
              <w:right w:val="single" w:sz="4" w:space="0" w:color="auto"/>
            </w:tcBorders>
            <w:shd w:val="clear" w:color="auto" w:fill="auto"/>
            <w:vAlign w:val="center"/>
          </w:tcPr>
          <w:p w:rsidR="007368F6" w:rsidRPr="007F22B2" w:rsidRDefault="007368F6" w:rsidP="00E34B4A">
            <w:pPr>
              <w:jc w:val="left"/>
              <w:rPr>
                <w:rFonts w:cstheme="minorHAnsi"/>
                <w:lang w:val="en-GB"/>
              </w:rPr>
            </w:pPr>
            <w:r w:rsidRPr="007F22B2">
              <w:rPr>
                <w:rFonts w:cstheme="minorHAnsi"/>
                <w:lang w:val="en-GB"/>
              </w:rPr>
              <w:t>Passenger ferry services</w:t>
            </w:r>
          </w:p>
        </w:tc>
        <w:tc>
          <w:tcPr>
            <w:tcW w:w="1330" w:type="dxa"/>
            <w:tcBorders>
              <w:top w:val="single" w:sz="4" w:space="0" w:color="auto"/>
              <w:left w:val="nil"/>
              <w:bottom w:val="single" w:sz="4" w:space="0" w:color="auto"/>
              <w:right w:val="single" w:sz="4" w:space="0" w:color="auto"/>
            </w:tcBorders>
            <w:shd w:val="clear" w:color="auto" w:fill="auto"/>
            <w:vAlign w:val="center"/>
          </w:tcPr>
          <w:p w:rsidR="007368F6" w:rsidRPr="003D46EA" w:rsidRDefault="007368F6" w:rsidP="00E34B4A">
            <w:pPr>
              <w:keepNext/>
              <w:keepLines/>
              <w:spacing w:before="0"/>
              <w:contextualSpacing/>
              <w:jc w:val="center"/>
              <w:rPr>
                <w:rFonts w:cstheme="minorHAnsi"/>
                <w:color w:val="000000"/>
                <w:lang w:val="en-GB" w:eastAsia="en-GB"/>
              </w:rPr>
            </w:pPr>
            <w:r w:rsidRPr="003D46EA">
              <w:rPr>
                <w:rFonts w:cstheme="minorHAnsi"/>
                <w:color w:val="000000"/>
                <w:lang w:val="en-GB" w:eastAsia="en-GB"/>
              </w:rPr>
              <w:t>0.4%</w:t>
            </w:r>
          </w:p>
        </w:tc>
        <w:tc>
          <w:tcPr>
            <w:tcW w:w="1326" w:type="dxa"/>
            <w:tcBorders>
              <w:top w:val="single" w:sz="4" w:space="0" w:color="auto"/>
              <w:left w:val="nil"/>
              <w:bottom w:val="single" w:sz="4" w:space="0" w:color="auto"/>
              <w:right w:val="single" w:sz="4" w:space="0" w:color="auto"/>
            </w:tcBorders>
            <w:vAlign w:val="center"/>
          </w:tcPr>
          <w:p w:rsidR="007368F6" w:rsidRPr="00225EE7" w:rsidRDefault="007368F6" w:rsidP="00E34B4A">
            <w:pPr>
              <w:keepNext/>
              <w:keepLines/>
              <w:spacing w:before="0"/>
              <w:contextualSpacing/>
              <w:jc w:val="center"/>
              <w:rPr>
                <w:rFonts w:cstheme="minorHAnsi"/>
                <w:color w:val="000000"/>
                <w:lang w:val="en-GB" w:eastAsia="en-GB"/>
              </w:rPr>
            </w:pPr>
            <w:r>
              <w:rPr>
                <w:rFonts w:cstheme="minorHAnsi"/>
                <w:color w:val="000000"/>
                <w:lang w:val="en-GB" w:eastAsia="en-GB"/>
              </w:rPr>
              <w:t>-1.0%</w:t>
            </w:r>
          </w:p>
        </w:tc>
        <w:tc>
          <w:tcPr>
            <w:tcW w:w="1561" w:type="dxa"/>
            <w:tcBorders>
              <w:top w:val="single" w:sz="4" w:space="0" w:color="auto"/>
              <w:left w:val="nil"/>
              <w:bottom w:val="single" w:sz="4" w:space="0" w:color="auto"/>
              <w:right w:val="single" w:sz="4" w:space="0" w:color="auto"/>
            </w:tcBorders>
            <w:vAlign w:val="center"/>
          </w:tcPr>
          <w:p w:rsidR="007368F6" w:rsidRPr="007F22B2" w:rsidRDefault="007368F6" w:rsidP="00E34B4A">
            <w:pPr>
              <w:jc w:val="center"/>
              <w:rPr>
                <w:rFonts w:cstheme="minorHAnsi"/>
                <w:color w:val="000000"/>
                <w:lang w:val="en-GB" w:eastAsia="en-GB"/>
              </w:rPr>
            </w:pPr>
            <w:r w:rsidRPr="00225EE7">
              <w:rPr>
                <w:rFonts w:cstheme="minorHAnsi"/>
                <w:color w:val="000000"/>
                <w:lang w:val="en-GB" w:eastAsia="en-GB"/>
              </w:rPr>
              <w:t>0.4</w:t>
            </w:r>
          </w:p>
        </w:tc>
      </w:tr>
    </w:tbl>
    <w:p w:rsidR="007368F6" w:rsidRDefault="007368F6" w:rsidP="007368F6">
      <w:pPr>
        <w:rPr>
          <w:lang w:val="en-GB"/>
        </w:rPr>
      </w:pPr>
    </w:p>
    <w:p w:rsidR="007368F6" w:rsidRPr="004A46B7" w:rsidRDefault="007368F6" w:rsidP="007368F6">
      <w:pPr>
        <w:tabs>
          <w:tab w:val="left" w:pos="217"/>
        </w:tabs>
        <w:rPr>
          <w:lang w:val="en-GB"/>
        </w:rPr>
      </w:pPr>
      <w:r>
        <w:rPr>
          <w:lang w:val="en-GB"/>
        </w:rPr>
        <w:t xml:space="preserve">The </w:t>
      </w:r>
      <w:r w:rsidRPr="004A46B7">
        <w:rPr>
          <w:lang w:val="en-GB"/>
        </w:rPr>
        <w:t xml:space="preserve">above MAEs have been ranked according to their growth in the period 2008-2010.  In most cases the recent growth shows a similar trend as the longer term development, although figures obviously differ for both periods. A clear exception to this is formed by shipbuilding where the longer term trend shows a decline, but the short term period shows a strong growth. In shipbuilding this may be influenced by the occurrence of a number of larger orders for new ships, hence it is not clear whether this really signifies a reversal of the trend. </w:t>
      </w:r>
    </w:p>
    <w:p w:rsidR="007368F6" w:rsidRPr="004A46B7" w:rsidRDefault="007368F6" w:rsidP="007368F6">
      <w:pPr>
        <w:tabs>
          <w:tab w:val="left" w:pos="217"/>
        </w:tabs>
        <w:rPr>
          <w:lang w:val="en-GB"/>
        </w:rPr>
      </w:pPr>
      <w:r w:rsidRPr="004A46B7">
        <w:rPr>
          <w:lang w:val="en-GB"/>
        </w:rPr>
        <w:t>The development in aggregates mining is remarkable as it is strongly linked to the development of the construction sector, which has not shown a similar development in that period. It should be noted that total volume of aggregate mining in France is small in a European perspective and that small changes in volumes might have a large impact on growth rates .</w:t>
      </w:r>
    </w:p>
    <w:p w:rsidR="007368F6" w:rsidRPr="004A46B7" w:rsidRDefault="007368F6" w:rsidP="007368F6">
      <w:pPr>
        <w:tabs>
          <w:tab w:val="left" w:pos="217"/>
        </w:tabs>
        <w:rPr>
          <w:lang w:val="en-GB"/>
        </w:rPr>
      </w:pPr>
      <w:r w:rsidRPr="004A46B7">
        <w:rPr>
          <w:lang w:val="en-GB"/>
        </w:rPr>
        <w:t>All in all the figures indicates that only the top 3 MAEs can be (possibly) characterised as fast growing although for shipbuilding and marine aggregates mining further confirmation needs to be sought, whether this is indeed the case.</w:t>
      </w:r>
    </w:p>
    <w:p w:rsidR="007368F6" w:rsidRDefault="007368F6" w:rsidP="007368F6">
      <w:pPr>
        <w:tabs>
          <w:tab w:val="left" w:pos="217"/>
        </w:tabs>
        <w:rPr>
          <w:lang w:val="en-GB"/>
        </w:rPr>
      </w:pPr>
      <w:r w:rsidRPr="004A46B7">
        <w:rPr>
          <w:lang w:val="en-GB"/>
        </w:rPr>
        <w:t>Please note, that growth figures could not be established for all MAEs.</w:t>
      </w:r>
    </w:p>
    <w:p w:rsidR="007368F6" w:rsidRDefault="007368F6" w:rsidP="007368F6">
      <w:pPr>
        <w:tabs>
          <w:tab w:val="left" w:pos="217"/>
        </w:tabs>
        <w:rPr>
          <w:lang w:val="en-GB"/>
        </w:rPr>
      </w:pPr>
    </w:p>
    <w:p w:rsidR="007127CC" w:rsidRPr="000C0C93" w:rsidRDefault="007127CC" w:rsidP="00FF2F7C">
      <w:pPr>
        <w:pStyle w:val="Heading2"/>
        <w:numPr>
          <w:ilvl w:val="1"/>
          <w:numId w:val="8"/>
        </w:numPr>
        <w:ind w:left="576" w:hanging="576"/>
      </w:pPr>
      <w:bookmarkStart w:id="36" w:name="_Toc369887010"/>
      <w:r w:rsidRPr="000C0C93">
        <w:t xml:space="preserve">Ranking order of the 7 most promising marine and maritime </w:t>
      </w:r>
      <w:bookmarkEnd w:id="32"/>
      <w:bookmarkEnd w:id="33"/>
      <w:bookmarkEnd w:id="34"/>
      <w:r>
        <w:t>economic activities</w:t>
      </w:r>
      <w:bookmarkEnd w:id="35"/>
      <w:bookmarkEnd w:id="36"/>
      <w:r w:rsidRPr="000C0C93">
        <w:t xml:space="preserve"> </w:t>
      </w:r>
    </w:p>
    <w:p w:rsidR="007127CC" w:rsidRDefault="007127CC" w:rsidP="007127CC">
      <w:pPr>
        <w:keepNext/>
        <w:keepLines/>
        <w:rPr>
          <w:lang w:val="en-GB"/>
        </w:rPr>
      </w:pPr>
      <w:r>
        <w:rPr>
          <w:lang w:val="en-GB"/>
        </w:rPr>
        <w:t>This s</w:t>
      </w:r>
      <w:r w:rsidR="00280A51">
        <w:rPr>
          <w:lang w:val="en-GB"/>
        </w:rPr>
        <w:t>ection</w:t>
      </w:r>
      <w:r>
        <w:rPr>
          <w:lang w:val="en-GB"/>
        </w:rPr>
        <w:t xml:space="preserve"> identifies </w:t>
      </w:r>
      <w:r w:rsidRPr="000C0C93">
        <w:rPr>
          <w:lang w:val="en-GB"/>
        </w:rPr>
        <w:t xml:space="preserve">the most promising </w:t>
      </w:r>
      <w:r>
        <w:rPr>
          <w:lang w:val="en-GB"/>
        </w:rPr>
        <w:t>economic activities</w:t>
      </w:r>
      <w:r w:rsidRPr="000C0C93">
        <w:rPr>
          <w:lang w:val="en-GB"/>
        </w:rPr>
        <w:t xml:space="preserve"> which have a perspective and promising growth potential, where future investments and projects could focus</w:t>
      </w:r>
      <w:r>
        <w:rPr>
          <w:lang w:val="en-GB"/>
        </w:rPr>
        <w:t>. A two-step approach is taken:</w:t>
      </w:r>
    </w:p>
    <w:p w:rsidR="007127CC" w:rsidRPr="005B57BA" w:rsidRDefault="007127CC" w:rsidP="00FF2F7C">
      <w:pPr>
        <w:pStyle w:val="ListParagraph"/>
        <w:keepNext/>
        <w:keepLines/>
        <w:numPr>
          <w:ilvl w:val="0"/>
          <w:numId w:val="9"/>
        </w:numPr>
        <w:rPr>
          <w:lang w:val="en-GB"/>
        </w:rPr>
      </w:pPr>
      <w:r w:rsidRPr="005B57BA">
        <w:rPr>
          <w:lang w:val="en-GB"/>
        </w:rPr>
        <w:t xml:space="preserve">Table </w:t>
      </w:r>
      <w:r w:rsidR="00E8042A">
        <w:rPr>
          <w:lang w:val="en-GB"/>
        </w:rPr>
        <w:t>6</w:t>
      </w:r>
      <w:r w:rsidRPr="005B57BA">
        <w:rPr>
          <w:lang w:val="en-GB"/>
        </w:rPr>
        <w:t xml:space="preserve"> presents the scoring of all maritime economic activities (at NUTS 1 or 0 level) alongside the indicators identified in the initial Blue Growth study.</w:t>
      </w:r>
      <w:r>
        <w:rPr>
          <w:rStyle w:val="FootnoteReference"/>
          <w:lang w:val="en-GB"/>
        </w:rPr>
        <w:footnoteReference w:id="119"/>
      </w:r>
      <w:r w:rsidRPr="005B57BA">
        <w:rPr>
          <w:lang w:val="en-GB"/>
        </w:rPr>
        <w:t xml:space="preserve"> </w:t>
      </w:r>
    </w:p>
    <w:p w:rsidR="007127CC" w:rsidRPr="005B57BA" w:rsidRDefault="007127CC" w:rsidP="00FF2F7C">
      <w:pPr>
        <w:pStyle w:val="ListParagraph"/>
        <w:keepNext/>
        <w:keepLines/>
        <w:numPr>
          <w:ilvl w:val="0"/>
          <w:numId w:val="9"/>
        </w:numPr>
        <w:rPr>
          <w:lang w:val="en-GB"/>
        </w:rPr>
      </w:pPr>
      <w:r w:rsidRPr="005B57BA">
        <w:rPr>
          <w:lang w:val="en-GB"/>
        </w:rPr>
        <w:t xml:space="preserve">Table </w:t>
      </w:r>
      <w:r w:rsidR="00E8042A">
        <w:rPr>
          <w:lang w:val="en-GB"/>
        </w:rPr>
        <w:t>7</w:t>
      </w:r>
      <w:r w:rsidRPr="005B57BA">
        <w:rPr>
          <w:lang w:val="en-GB"/>
        </w:rPr>
        <w:t xml:space="preserve"> suggests the ranking order for the 7 most promising maritime economic activities</w:t>
      </w:r>
    </w:p>
    <w:p w:rsidR="007127CC" w:rsidRDefault="007127CC" w:rsidP="007127CC">
      <w:pPr>
        <w:rPr>
          <w:lang w:val="en-GB"/>
        </w:rPr>
      </w:pPr>
      <w:r w:rsidRPr="002A1000">
        <w:rPr>
          <w:lang w:val="en-GB"/>
        </w:rPr>
        <w:t xml:space="preserve">The identification of the </w:t>
      </w:r>
      <w:r w:rsidRPr="002A1000">
        <w:rPr>
          <w:lang w:val="en-GB" w:eastAsia="it-IT"/>
        </w:rPr>
        <w:t xml:space="preserve">7 most promising maritime </w:t>
      </w:r>
      <w:r>
        <w:rPr>
          <w:lang w:val="en-GB" w:eastAsia="it-IT"/>
        </w:rPr>
        <w:t>economic activities</w:t>
      </w:r>
      <w:r w:rsidRPr="002A1000">
        <w:rPr>
          <w:lang w:val="en-GB" w:eastAsia="it-IT"/>
        </w:rPr>
        <w:t xml:space="preserve"> is </w:t>
      </w:r>
      <w:r>
        <w:rPr>
          <w:lang w:val="en-GB" w:eastAsia="it-IT"/>
        </w:rPr>
        <w:t xml:space="preserve">a </w:t>
      </w:r>
      <w:r w:rsidRPr="002A1000">
        <w:rPr>
          <w:lang w:val="en-GB" w:eastAsia="it-IT"/>
        </w:rPr>
        <w:t xml:space="preserve">result of expert evaluation, which </w:t>
      </w:r>
      <w:r>
        <w:rPr>
          <w:lang w:val="en-GB" w:eastAsia="it-IT"/>
        </w:rPr>
        <w:t>is</w:t>
      </w:r>
      <w:r w:rsidRPr="002A1000">
        <w:rPr>
          <w:lang w:val="en-GB" w:eastAsia="it-IT"/>
        </w:rPr>
        <w:t xml:space="preserve"> based on data and information derived from the previous sections, and </w:t>
      </w:r>
      <w:r w:rsidRPr="002A1000">
        <w:rPr>
          <w:lang w:val="en-GB"/>
        </w:rPr>
        <w:t>combined with a number of key external drivers which will determine their importance in the future</w:t>
      </w:r>
      <w:r w:rsidRPr="000C0C93">
        <w:rPr>
          <w:lang w:val="en-GB"/>
        </w:rPr>
        <w:t xml:space="preserve"> </w:t>
      </w:r>
    </w:p>
    <w:p w:rsidR="00276BD7" w:rsidRPr="00F00222" w:rsidRDefault="00276BD7" w:rsidP="00276BD7">
      <w:pPr>
        <w:pStyle w:val="Caption"/>
        <w:jc w:val="left"/>
      </w:pPr>
      <w:r w:rsidRPr="00F00222">
        <w:lastRenderedPageBreak/>
        <w:t xml:space="preserve">Table </w:t>
      </w:r>
      <w:r w:rsidR="00E8042A">
        <w:t>6</w:t>
      </w:r>
      <w:r w:rsidRPr="00F00222">
        <w:t xml:space="preserve"> - Future potential of </w:t>
      </w:r>
      <w:r>
        <w:t>economic activities</w:t>
      </w:r>
    </w:p>
    <w:tbl>
      <w:tblPr>
        <w:tblW w:w="957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4211"/>
        <w:gridCol w:w="571"/>
        <w:gridCol w:w="567"/>
        <w:gridCol w:w="567"/>
        <w:gridCol w:w="567"/>
        <w:gridCol w:w="567"/>
        <w:gridCol w:w="569"/>
        <w:gridCol w:w="569"/>
      </w:tblGrid>
      <w:tr w:rsidR="00276BD7" w:rsidRPr="00225EE7" w:rsidTr="007F22B2">
        <w:trPr>
          <w:cantSplit/>
          <w:trHeight w:val="1644"/>
          <w:jc w:val="center"/>
        </w:trPr>
        <w:tc>
          <w:tcPr>
            <w:tcW w:w="1387" w:type="dxa"/>
            <w:shd w:val="clear" w:color="auto" w:fill="C6D9F1" w:themeFill="text2" w:themeFillTint="33"/>
            <w:vAlign w:val="center"/>
          </w:tcPr>
          <w:p w:rsidR="00276BD7" w:rsidRPr="00225EE7" w:rsidRDefault="00276BD7" w:rsidP="000A6BC7">
            <w:pPr>
              <w:pStyle w:val="broodtekst"/>
              <w:keepNext/>
              <w:keepLines/>
              <w:spacing w:before="120"/>
              <w:jc w:val="center"/>
              <w:rPr>
                <w:rFonts w:asciiTheme="minorHAnsi" w:hAnsiTheme="minorHAnsi"/>
                <w:color w:val="4F81BD" w:themeColor="accent1"/>
                <w:sz w:val="20"/>
                <w:szCs w:val="20"/>
                <w:lang w:val="en-GB"/>
              </w:rPr>
            </w:pPr>
            <w:r w:rsidRPr="00225EE7">
              <w:rPr>
                <w:rFonts w:asciiTheme="minorHAnsi" w:hAnsiTheme="minorHAnsi"/>
                <w:b/>
                <w:bCs/>
                <w:color w:val="4F81BD" w:themeColor="accent1"/>
                <w:sz w:val="20"/>
                <w:szCs w:val="20"/>
                <w:lang w:val="en-GB"/>
              </w:rPr>
              <w:t>Function</w:t>
            </w:r>
          </w:p>
        </w:tc>
        <w:tc>
          <w:tcPr>
            <w:tcW w:w="4211" w:type="dxa"/>
            <w:shd w:val="clear" w:color="auto" w:fill="C6D9F1" w:themeFill="text2" w:themeFillTint="33"/>
            <w:vAlign w:val="center"/>
          </w:tcPr>
          <w:p w:rsidR="00276BD7" w:rsidRPr="00225EE7" w:rsidRDefault="00276BD7" w:rsidP="000A6BC7">
            <w:pPr>
              <w:pStyle w:val="broodtekst"/>
              <w:keepNext/>
              <w:keepLines/>
              <w:spacing w:before="120"/>
              <w:jc w:val="center"/>
              <w:rPr>
                <w:rFonts w:asciiTheme="minorHAnsi" w:hAnsiTheme="minorHAnsi"/>
                <w:color w:val="4F81BD" w:themeColor="accent1"/>
                <w:sz w:val="20"/>
                <w:szCs w:val="20"/>
                <w:lang w:val="en-GB"/>
              </w:rPr>
            </w:pPr>
            <w:r w:rsidRPr="00225EE7">
              <w:rPr>
                <w:rFonts w:asciiTheme="minorHAnsi" w:hAnsiTheme="minorHAnsi"/>
                <w:b/>
                <w:bCs/>
                <w:color w:val="4F81BD" w:themeColor="accent1"/>
                <w:sz w:val="20"/>
                <w:szCs w:val="20"/>
                <w:lang w:val="en-GB"/>
              </w:rPr>
              <w:t>Economic activity</w:t>
            </w:r>
          </w:p>
        </w:tc>
        <w:tc>
          <w:tcPr>
            <w:tcW w:w="571" w:type="dxa"/>
            <w:shd w:val="clear" w:color="auto" w:fill="C6D9F1" w:themeFill="text2" w:themeFillTint="33"/>
            <w:textDirection w:val="btLr"/>
            <w:vAlign w:val="center"/>
          </w:tcPr>
          <w:p w:rsidR="00276BD7" w:rsidRPr="00225EE7" w:rsidRDefault="00276BD7" w:rsidP="000A6BC7">
            <w:pPr>
              <w:pStyle w:val="broodtekst"/>
              <w:keepNext/>
              <w:keepLines/>
              <w:spacing w:before="120"/>
              <w:ind w:left="113" w:right="113"/>
              <w:jc w:val="center"/>
              <w:rPr>
                <w:rFonts w:asciiTheme="minorHAnsi" w:hAnsiTheme="minorHAnsi"/>
                <w:color w:val="4F81BD" w:themeColor="accent1"/>
                <w:sz w:val="20"/>
                <w:szCs w:val="20"/>
                <w:lang w:val="en-GB"/>
              </w:rPr>
            </w:pPr>
            <w:r w:rsidRPr="00225EE7">
              <w:rPr>
                <w:rFonts w:asciiTheme="minorHAnsi" w:hAnsiTheme="minorHAnsi"/>
                <w:b/>
                <w:bCs/>
                <w:color w:val="4F81BD" w:themeColor="accent1"/>
                <w:sz w:val="20"/>
                <w:szCs w:val="20"/>
                <w:lang w:val="en-GB"/>
              </w:rPr>
              <w:t>Innovativeness</w:t>
            </w:r>
          </w:p>
        </w:tc>
        <w:tc>
          <w:tcPr>
            <w:tcW w:w="567" w:type="dxa"/>
            <w:shd w:val="clear" w:color="auto" w:fill="C6D9F1" w:themeFill="text2" w:themeFillTint="33"/>
            <w:textDirection w:val="btLr"/>
            <w:vAlign w:val="center"/>
          </w:tcPr>
          <w:p w:rsidR="00276BD7" w:rsidRPr="00225EE7" w:rsidRDefault="00276BD7" w:rsidP="000A6BC7">
            <w:pPr>
              <w:pStyle w:val="Default"/>
              <w:keepNext/>
              <w:keepLines/>
              <w:spacing w:before="120"/>
              <w:ind w:left="113" w:right="113"/>
              <w:jc w:val="center"/>
              <w:rPr>
                <w:rFonts w:asciiTheme="minorHAnsi" w:hAnsiTheme="minorHAnsi"/>
                <w:color w:val="4F81BD" w:themeColor="accent1"/>
                <w:sz w:val="20"/>
                <w:szCs w:val="20"/>
                <w:lang w:val="en-GB"/>
              </w:rPr>
            </w:pPr>
            <w:r w:rsidRPr="00225EE7">
              <w:rPr>
                <w:rFonts w:asciiTheme="minorHAnsi" w:hAnsiTheme="minorHAnsi"/>
                <w:b/>
                <w:bCs/>
                <w:color w:val="4F81BD" w:themeColor="accent1"/>
                <w:sz w:val="20"/>
                <w:szCs w:val="20"/>
                <w:lang w:val="en-GB"/>
              </w:rPr>
              <w:t>Competitiveness</w:t>
            </w:r>
          </w:p>
        </w:tc>
        <w:tc>
          <w:tcPr>
            <w:tcW w:w="567" w:type="dxa"/>
            <w:shd w:val="clear" w:color="auto" w:fill="C6D9F1" w:themeFill="text2" w:themeFillTint="33"/>
            <w:textDirection w:val="btLr"/>
            <w:vAlign w:val="center"/>
          </w:tcPr>
          <w:p w:rsidR="00276BD7" w:rsidRPr="00225EE7" w:rsidRDefault="00276BD7" w:rsidP="000A6BC7">
            <w:pPr>
              <w:pStyle w:val="Default"/>
              <w:keepNext/>
              <w:keepLines/>
              <w:spacing w:before="120"/>
              <w:ind w:left="113" w:right="113"/>
              <w:jc w:val="center"/>
              <w:rPr>
                <w:rFonts w:asciiTheme="minorHAnsi" w:hAnsiTheme="minorHAnsi"/>
                <w:color w:val="4F81BD" w:themeColor="accent1"/>
                <w:sz w:val="20"/>
                <w:szCs w:val="20"/>
                <w:lang w:val="en-GB"/>
              </w:rPr>
            </w:pPr>
            <w:r w:rsidRPr="00225EE7">
              <w:rPr>
                <w:rFonts w:asciiTheme="minorHAnsi" w:hAnsiTheme="minorHAnsi"/>
                <w:b/>
                <w:bCs/>
                <w:color w:val="4F81BD" w:themeColor="accent1"/>
                <w:sz w:val="20"/>
                <w:szCs w:val="20"/>
                <w:lang w:val="en-GB"/>
              </w:rPr>
              <w:t>Employment</w:t>
            </w:r>
          </w:p>
        </w:tc>
        <w:tc>
          <w:tcPr>
            <w:tcW w:w="567" w:type="dxa"/>
            <w:shd w:val="clear" w:color="auto" w:fill="C6D9F1" w:themeFill="text2" w:themeFillTint="33"/>
            <w:textDirection w:val="btLr"/>
            <w:vAlign w:val="center"/>
          </w:tcPr>
          <w:p w:rsidR="00276BD7" w:rsidRPr="00225EE7" w:rsidRDefault="00276BD7" w:rsidP="000A6BC7">
            <w:pPr>
              <w:pStyle w:val="Default"/>
              <w:keepNext/>
              <w:keepLines/>
              <w:spacing w:before="120"/>
              <w:ind w:left="113" w:right="113"/>
              <w:jc w:val="center"/>
              <w:rPr>
                <w:rFonts w:asciiTheme="minorHAnsi" w:hAnsiTheme="minorHAnsi"/>
                <w:color w:val="4F81BD" w:themeColor="accent1"/>
                <w:sz w:val="20"/>
                <w:szCs w:val="20"/>
                <w:lang w:val="en-GB"/>
              </w:rPr>
            </w:pPr>
            <w:r w:rsidRPr="00225EE7">
              <w:rPr>
                <w:rFonts w:asciiTheme="minorHAnsi" w:hAnsiTheme="minorHAnsi"/>
                <w:b/>
                <w:bCs/>
                <w:color w:val="4F81BD" w:themeColor="accent1"/>
                <w:sz w:val="20"/>
                <w:szCs w:val="20"/>
                <w:lang w:val="en-GB"/>
              </w:rPr>
              <w:t>Policy relevance</w:t>
            </w:r>
          </w:p>
        </w:tc>
        <w:tc>
          <w:tcPr>
            <w:tcW w:w="567" w:type="dxa"/>
            <w:shd w:val="clear" w:color="auto" w:fill="C6D9F1" w:themeFill="text2" w:themeFillTint="33"/>
            <w:textDirection w:val="btLr"/>
            <w:vAlign w:val="center"/>
          </w:tcPr>
          <w:p w:rsidR="00276BD7" w:rsidRPr="00225EE7" w:rsidRDefault="00276BD7" w:rsidP="000A6BC7">
            <w:pPr>
              <w:pStyle w:val="Default"/>
              <w:keepNext/>
              <w:keepLines/>
              <w:spacing w:before="120"/>
              <w:ind w:left="113" w:right="113"/>
              <w:jc w:val="center"/>
              <w:rPr>
                <w:rFonts w:asciiTheme="minorHAnsi" w:hAnsiTheme="minorHAnsi"/>
                <w:color w:val="4F81BD" w:themeColor="accent1"/>
                <w:sz w:val="20"/>
                <w:szCs w:val="20"/>
                <w:lang w:val="en-GB"/>
              </w:rPr>
            </w:pPr>
            <w:r w:rsidRPr="00225EE7">
              <w:rPr>
                <w:rFonts w:asciiTheme="minorHAnsi" w:hAnsiTheme="minorHAnsi"/>
                <w:b/>
                <w:bCs/>
                <w:color w:val="4F81BD" w:themeColor="accent1"/>
                <w:sz w:val="20"/>
                <w:szCs w:val="20"/>
                <w:lang w:val="en-GB"/>
              </w:rPr>
              <w:t>Spill-over effects</w:t>
            </w:r>
          </w:p>
        </w:tc>
        <w:tc>
          <w:tcPr>
            <w:tcW w:w="569" w:type="dxa"/>
            <w:shd w:val="clear" w:color="auto" w:fill="C6D9F1" w:themeFill="text2" w:themeFillTint="33"/>
            <w:textDirection w:val="btLr"/>
            <w:vAlign w:val="center"/>
          </w:tcPr>
          <w:p w:rsidR="00276BD7" w:rsidRPr="00225EE7" w:rsidRDefault="00276BD7" w:rsidP="000A6BC7">
            <w:pPr>
              <w:pStyle w:val="Default"/>
              <w:keepNext/>
              <w:keepLines/>
              <w:spacing w:before="120"/>
              <w:ind w:left="113" w:right="113"/>
              <w:jc w:val="center"/>
              <w:rPr>
                <w:rFonts w:asciiTheme="minorHAnsi" w:hAnsiTheme="minorHAnsi"/>
                <w:color w:val="4F81BD" w:themeColor="accent1"/>
                <w:sz w:val="20"/>
                <w:szCs w:val="20"/>
                <w:lang w:val="en-GB"/>
              </w:rPr>
            </w:pPr>
            <w:r w:rsidRPr="00225EE7">
              <w:rPr>
                <w:rFonts w:asciiTheme="minorHAnsi" w:hAnsiTheme="minorHAnsi"/>
                <w:b/>
                <w:bCs/>
                <w:color w:val="4F81BD" w:themeColor="accent1"/>
                <w:sz w:val="20"/>
                <w:szCs w:val="20"/>
                <w:lang w:val="en-GB"/>
              </w:rPr>
              <w:t>Sustainability</w:t>
            </w:r>
          </w:p>
        </w:tc>
        <w:tc>
          <w:tcPr>
            <w:tcW w:w="569" w:type="dxa"/>
            <w:shd w:val="clear" w:color="auto" w:fill="DAEEF3" w:themeFill="accent5" w:themeFillTint="33"/>
            <w:textDirection w:val="btLr"/>
            <w:vAlign w:val="center"/>
          </w:tcPr>
          <w:p w:rsidR="00276BD7" w:rsidRPr="00225EE7" w:rsidRDefault="00276BD7" w:rsidP="000A6BC7">
            <w:pPr>
              <w:pStyle w:val="Default"/>
              <w:keepNext/>
              <w:keepLines/>
              <w:spacing w:before="120"/>
              <w:ind w:left="113" w:right="113"/>
              <w:jc w:val="center"/>
              <w:rPr>
                <w:rFonts w:asciiTheme="minorHAnsi" w:hAnsiTheme="minorHAnsi"/>
                <w:color w:val="4F81BD" w:themeColor="accent1"/>
                <w:sz w:val="20"/>
                <w:szCs w:val="20"/>
                <w:lang w:val="en-GB"/>
              </w:rPr>
            </w:pPr>
            <w:r w:rsidRPr="00225EE7">
              <w:rPr>
                <w:rFonts w:asciiTheme="minorHAnsi" w:hAnsiTheme="minorHAnsi"/>
                <w:b/>
                <w:bCs/>
                <w:color w:val="4F81BD" w:themeColor="accent1"/>
                <w:sz w:val="20"/>
                <w:szCs w:val="20"/>
                <w:lang w:val="en-GB"/>
              </w:rPr>
              <w:t>Overall score</w:t>
            </w:r>
          </w:p>
        </w:tc>
      </w:tr>
      <w:tr w:rsidR="00276BD7" w:rsidRPr="00225EE7" w:rsidTr="007F22B2">
        <w:trPr>
          <w:trHeight w:val="20"/>
          <w:jc w:val="center"/>
        </w:trPr>
        <w:tc>
          <w:tcPr>
            <w:tcW w:w="1387" w:type="dxa"/>
            <w:vMerge w:val="restart"/>
          </w:tcPr>
          <w:p w:rsidR="00276BD7" w:rsidRPr="00225EE7" w:rsidRDefault="00276BD7" w:rsidP="000A6BC7">
            <w:pPr>
              <w:pStyle w:val="Default"/>
              <w:keepNext/>
              <w:keepLines/>
              <w:rPr>
                <w:rFonts w:asciiTheme="minorHAnsi" w:hAnsiTheme="minorHAnsi"/>
                <w:sz w:val="20"/>
                <w:szCs w:val="20"/>
              </w:rPr>
            </w:pPr>
            <w:r w:rsidRPr="00225EE7">
              <w:rPr>
                <w:rFonts w:asciiTheme="minorHAnsi" w:hAnsiTheme="minorHAnsi"/>
                <w:sz w:val="20"/>
                <w:szCs w:val="20"/>
              </w:rPr>
              <w:t>0.Shipbuilding</w:t>
            </w:r>
          </w:p>
        </w:tc>
        <w:tc>
          <w:tcPr>
            <w:tcW w:w="4211" w:type="dxa"/>
            <w:vAlign w:val="center"/>
          </w:tcPr>
          <w:p w:rsidR="00276BD7" w:rsidRPr="00225EE7" w:rsidRDefault="00276BD7">
            <w:pPr>
              <w:pStyle w:val="Default"/>
              <w:keepNext/>
              <w:keepLines/>
              <w:rPr>
                <w:rFonts w:asciiTheme="minorHAnsi" w:hAnsiTheme="minorHAnsi"/>
                <w:b/>
                <w:sz w:val="20"/>
                <w:szCs w:val="20"/>
              </w:rPr>
            </w:pPr>
            <w:r w:rsidRPr="00225EE7">
              <w:rPr>
                <w:rFonts w:asciiTheme="minorHAnsi" w:hAnsiTheme="minorHAnsi"/>
                <w:b/>
                <w:sz w:val="20"/>
                <w:szCs w:val="20"/>
              </w:rPr>
              <w:t>0.1 Shipbuilding(excl. leisure boats) and ship repair</w:t>
            </w:r>
          </w:p>
        </w:tc>
        <w:tc>
          <w:tcPr>
            <w:tcW w:w="571" w:type="dxa"/>
            <w:vAlign w:val="center"/>
          </w:tcPr>
          <w:p w:rsidR="00276BD7" w:rsidRPr="00225EE7" w:rsidRDefault="000C590E">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0C590E">
            <w:pPr>
              <w:pStyle w:val="Default"/>
              <w:keepNext/>
              <w:keepLines/>
              <w:jc w:val="center"/>
              <w:rPr>
                <w:rFonts w:asciiTheme="minorHAnsi" w:hAnsiTheme="minorHAnsi"/>
                <w:b/>
                <w:sz w:val="20"/>
                <w:szCs w:val="20"/>
              </w:rPr>
            </w:pPr>
            <w:r w:rsidRPr="00225EE7">
              <w:rPr>
                <w:rFonts w:asciiTheme="minorHAnsi" w:hAnsiTheme="minorHAnsi"/>
                <w:b/>
                <w:sz w:val="20"/>
                <w:szCs w:val="20"/>
              </w:rPr>
              <w:t>0</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9"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0</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b/>
                <w:sz w:val="20"/>
                <w:szCs w:val="20"/>
              </w:rPr>
            </w:pPr>
            <w:r w:rsidRPr="007F22B2">
              <w:rPr>
                <w:rFonts w:asciiTheme="minorHAnsi" w:hAnsiTheme="minorHAnsi"/>
                <w:b/>
                <w:sz w:val="20"/>
                <w:szCs w:val="20"/>
              </w:rPr>
              <w:t>4</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0.2 Construction of water project</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sz w:val="20"/>
                <w:szCs w:val="20"/>
              </w:rPr>
            </w:pPr>
            <w:r w:rsidRPr="00225EE7">
              <w:rPr>
                <w:rFonts w:asciiTheme="minorHAnsi" w:hAnsiTheme="minorHAnsi"/>
                <w:sz w:val="20"/>
                <w:szCs w:val="20"/>
              </w:rPr>
              <w:t>3</w:t>
            </w:r>
          </w:p>
        </w:tc>
      </w:tr>
      <w:tr w:rsidR="00276BD7" w:rsidRPr="00225EE7" w:rsidTr="007F22B2">
        <w:trPr>
          <w:trHeight w:val="20"/>
          <w:jc w:val="center"/>
        </w:trPr>
        <w:tc>
          <w:tcPr>
            <w:tcW w:w="1387" w:type="dxa"/>
            <w:vMerge w:val="restart"/>
          </w:tcPr>
          <w:p w:rsidR="00276BD7" w:rsidRPr="00225EE7" w:rsidRDefault="00276BD7" w:rsidP="000A6BC7">
            <w:pPr>
              <w:pStyle w:val="Default"/>
              <w:keepNext/>
              <w:keepLines/>
              <w:ind w:left="104" w:hanging="142"/>
              <w:rPr>
                <w:rFonts w:asciiTheme="minorHAnsi" w:hAnsiTheme="minorHAnsi"/>
                <w:sz w:val="20"/>
                <w:szCs w:val="20"/>
              </w:rPr>
            </w:pPr>
            <w:r w:rsidRPr="00225EE7">
              <w:rPr>
                <w:rFonts w:asciiTheme="minorHAnsi" w:hAnsiTheme="minorHAnsi"/>
                <w:sz w:val="20"/>
                <w:szCs w:val="20"/>
              </w:rPr>
              <w:t xml:space="preserve">1. Maritime transport </w:t>
            </w: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1.1 Deep-sea shipping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sz w:val="20"/>
                <w:szCs w:val="20"/>
              </w:rPr>
            </w:pPr>
            <w:r w:rsidRPr="00225EE7">
              <w:rPr>
                <w:rFonts w:asciiTheme="minorHAnsi" w:hAnsiTheme="minorHAnsi"/>
                <w:sz w:val="20"/>
                <w:szCs w:val="20"/>
              </w:rPr>
              <w:t>1</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lang w:val="en-GB"/>
              </w:rPr>
            </w:pPr>
            <w:r w:rsidRPr="00225EE7">
              <w:rPr>
                <w:rFonts w:asciiTheme="minorHAnsi" w:hAnsiTheme="minorHAnsi"/>
                <w:sz w:val="20"/>
                <w:szCs w:val="20"/>
                <w:lang w:val="en-GB"/>
              </w:rPr>
              <w:t xml:space="preserve">1.2 Short-sea shipping (incl. RoRo)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sz w:val="20"/>
                <w:szCs w:val="20"/>
              </w:rPr>
            </w:pPr>
            <w:r w:rsidRPr="00225EE7">
              <w:rPr>
                <w:rFonts w:asciiTheme="minorHAnsi" w:hAnsiTheme="minorHAnsi"/>
                <w:sz w:val="20"/>
                <w:szCs w:val="20"/>
              </w:rPr>
              <w:t>3</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1.3 Passenger ferry services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sz w:val="20"/>
                <w:szCs w:val="20"/>
              </w:rPr>
            </w:pPr>
            <w:r w:rsidRPr="00225EE7">
              <w:rPr>
                <w:rFonts w:asciiTheme="minorHAnsi" w:hAnsiTheme="minorHAnsi"/>
                <w:sz w:val="20"/>
                <w:szCs w:val="20"/>
              </w:rPr>
              <w:t>0</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1.4 Inland waterway transport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sz w:val="20"/>
                <w:szCs w:val="20"/>
              </w:rPr>
            </w:pPr>
            <w:r w:rsidRPr="00225EE7">
              <w:rPr>
                <w:rFonts w:asciiTheme="minorHAnsi" w:hAnsiTheme="minorHAnsi"/>
                <w:sz w:val="20"/>
                <w:szCs w:val="20"/>
              </w:rPr>
              <w:t>1</w:t>
            </w:r>
          </w:p>
        </w:tc>
      </w:tr>
      <w:tr w:rsidR="00276BD7" w:rsidRPr="00225EE7" w:rsidTr="007F22B2">
        <w:trPr>
          <w:trHeight w:val="20"/>
          <w:jc w:val="center"/>
        </w:trPr>
        <w:tc>
          <w:tcPr>
            <w:tcW w:w="1387" w:type="dxa"/>
            <w:vMerge w:val="restart"/>
          </w:tcPr>
          <w:p w:rsidR="00276BD7" w:rsidRPr="00225EE7" w:rsidRDefault="00276BD7" w:rsidP="000A6BC7">
            <w:pPr>
              <w:pStyle w:val="Default"/>
              <w:keepNext/>
              <w:keepLines/>
              <w:ind w:left="104" w:hanging="142"/>
              <w:rPr>
                <w:rFonts w:asciiTheme="minorHAnsi" w:hAnsiTheme="minorHAnsi"/>
                <w:sz w:val="20"/>
                <w:szCs w:val="20"/>
              </w:rPr>
            </w:pPr>
            <w:r w:rsidRPr="00225EE7">
              <w:rPr>
                <w:rFonts w:asciiTheme="minorHAnsi" w:hAnsiTheme="minorHAnsi"/>
                <w:sz w:val="20"/>
                <w:szCs w:val="20"/>
              </w:rPr>
              <w:t xml:space="preserve">2. Food, nutrition, health and eco-system services </w:t>
            </w: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2.1 Catching fish for human consumption </w:t>
            </w:r>
          </w:p>
        </w:tc>
        <w:tc>
          <w:tcPr>
            <w:tcW w:w="571"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r w:rsidR="005F6F4A" w:rsidRPr="00225EE7">
              <w:rPr>
                <w:rFonts w:asciiTheme="minorHAnsi" w:hAnsiTheme="minorHAnsi"/>
                <w:sz w:val="20"/>
                <w:szCs w:val="20"/>
              </w:rPr>
              <w:t>3</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2.2 Catching fish for animal feeding </w:t>
            </w:r>
          </w:p>
        </w:tc>
        <w:tc>
          <w:tcPr>
            <w:tcW w:w="571"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r w:rsidR="005F6F4A" w:rsidRPr="00225EE7">
              <w:rPr>
                <w:rFonts w:asciiTheme="minorHAnsi" w:hAnsiTheme="minorHAnsi"/>
                <w:sz w:val="20"/>
                <w:szCs w:val="20"/>
              </w:rPr>
              <w:t>2</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2.3 Marine aquatic products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sz w:val="20"/>
                <w:szCs w:val="20"/>
              </w:rPr>
            </w:pPr>
            <w:r w:rsidRPr="00225EE7">
              <w:rPr>
                <w:rFonts w:asciiTheme="minorHAnsi" w:hAnsiTheme="minorHAnsi"/>
                <w:sz w:val="20"/>
                <w:szCs w:val="20"/>
              </w:rPr>
              <w:t>1</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b/>
                <w:sz w:val="20"/>
                <w:szCs w:val="20"/>
              </w:rPr>
            </w:pPr>
            <w:r w:rsidRPr="00225EE7">
              <w:rPr>
                <w:rFonts w:asciiTheme="minorHAnsi" w:hAnsiTheme="minorHAnsi"/>
                <w:b/>
                <w:sz w:val="20"/>
                <w:szCs w:val="20"/>
              </w:rPr>
              <w:t xml:space="preserve">2.4 Blue Biotechnology </w:t>
            </w:r>
          </w:p>
        </w:tc>
        <w:tc>
          <w:tcPr>
            <w:tcW w:w="571"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0C590E">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9"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0</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b/>
                <w:sz w:val="20"/>
                <w:szCs w:val="20"/>
              </w:rPr>
            </w:pPr>
            <w:r w:rsidRPr="007F22B2">
              <w:rPr>
                <w:rFonts w:asciiTheme="minorHAnsi" w:hAnsiTheme="minorHAnsi"/>
                <w:b/>
                <w:sz w:val="20"/>
                <w:szCs w:val="20"/>
              </w:rPr>
              <w:t>5</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2.5 Agriculture on saline soils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shd w:val="clear" w:color="auto" w:fill="DAEEF3" w:themeFill="accent5" w:themeFillTint="33"/>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r w:rsidR="005F6F4A" w:rsidRPr="00225EE7">
              <w:rPr>
                <w:rFonts w:asciiTheme="minorHAnsi" w:hAnsiTheme="minorHAnsi"/>
                <w:sz w:val="20"/>
                <w:szCs w:val="20"/>
              </w:rPr>
              <w:t>2</w:t>
            </w:r>
          </w:p>
        </w:tc>
      </w:tr>
      <w:tr w:rsidR="00276BD7" w:rsidRPr="00225EE7" w:rsidTr="007F22B2">
        <w:trPr>
          <w:trHeight w:val="20"/>
          <w:jc w:val="center"/>
        </w:trPr>
        <w:tc>
          <w:tcPr>
            <w:tcW w:w="1387" w:type="dxa"/>
            <w:vMerge w:val="restart"/>
          </w:tcPr>
          <w:p w:rsidR="00276BD7" w:rsidRPr="00225EE7" w:rsidRDefault="00276BD7" w:rsidP="000A6BC7">
            <w:pPr>
              <w:pStyle w:val="Default"/>
              <w:keepNext/>
              <w:keepLines/>
              <w:ind w:left="104" w:hanging="142"/>
              <w:rPr>
                <w:rFonts w:asciiTheme="minorHAnsi" w:hAnsiTheme="minorHAnsi"/>
                <w:sz w:val="20"/>
                <w:szCs w:val="20"/>
              </w:rPr>
            </w:pPr>
            <w:r w:rsidRPr="00225EE7">
              <w:rPr>
                <w:rFonts w:asciiTheme="minorHAnsi" w:hAnsiTheme="minorHAnsi"/>
                <w:sz w:val="20"/>
                <w:szCs w:val="20"/>
              </w:rPr>
              <w:t xml:space="preserve">3. Energy and raw materials </w:t>
            </w: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3.1 Offshore oil and gas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EC4BAF">
            <w:pPr>
              <w:pStyle w:val="Default"/>
              <w:keepNext/>
              <w:keepLines/>
              <w:jc w:val="center"/>
              <w:rPr>
                <w:rFonts w:asciiTheme="minorHAnsi" w:hAnsiTheme="minorHAnsi"/>
                <w:sz w:val="20"/>
                <w:szCs w:val="20"/>
              </w:rPr>
            </w:pPr>
            <w:r w:rsidRPr="00225EE7">
              <w:rPr>
                <w:rFonts w:asciiTheme="minorHAnsi" w:hAnsiTheme="minorHAnsi"/>
                <w:sz w:val="20"/>
                <w:szCs w:val="20"/>
              </w:rPr>
              <w:t>-</w:t>
            </w:r>
            <w:r w:rsidR="005F6F4A" w:rsidRPr="00225EE7">
              <w:rPr>
                <w:rFonts w:asciiTheme="minorHAnsi" w:hAnsiTheme="minorHAnsi"/>
                <w:sz w:val="20"/>
                <w:szCs w:val="20"/>
              </w:rPr>
              <w:t>1</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b/>
                <w:sz w:val="20"/>
                <w:szCs w:val="20"/>
              </w:rPr>
            </w:pPr>
            <w:r w:rsidRPr="00225EE7">
              <w:rPr>
                <w:rFonts w:asciiTheme="minorHAnsi" w:hAnsiTheme="minorHAnsi"/>
                <w:b/>
                <w:sz w:val="20"/>
                <w:szCs w:val="20"/>
              </w:rPr>
              <w:t xml:space="preserve">3.2 Offshore wind </w:t>
            </w:r>
          </w:p>
        </w:tc>
        <w:tc>
          <w:tcPr>
            <w:tcW w:w="571"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0C590E">
            <w:pPr>
              <w:pStyle w:val="Default"/>
              <w:keepNext/>
              <w:keepLines/>
              <w:jc w:val="center"/>
              <w:rPr>
                <w:rFonts w:asciiTheme="minorHAnsi" w:hAnsiTheme="minorHAnsi"/>
                <w:b/>
                <w:sz w:val="20"/>
                <w:szCs w:val="20"/>
              </w:rPr>
            </w:pPr>
            <w:r w:rsidRPr="00225EE7">
              <w:rPr>
                <w:rFonts w:asciiTheme="minorHAnsi" w:hAnsiTheme="minorHAnsi"/>
                <w:b/>
                <w:sz w:val="20"/>
                <w:szCs w:val="20"/>
              </w:rPr>
              <w:t>0</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9"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9" w:type="dxa"/>
            <w:shd w:val="clear" w:color="auto" w:fill="DAEEF3" w:themeFill="accent5" w:themeFillTint="33"/>
            <w:vAlign w:val="center"/>
          </w:tcPr>
          <w:p w:rsidR="00276BD7" w:rsidRPr="00225EE7" w:rsidRDefault="00EC4BAF">
            <w:pPr>
              <w:pStyle w:val="Default"/>
              <w:keepNext/>
              <w:keepLines/>
              <w:jc w:val="center"/>
              <w:rPr>
                <w:rFonts w:asciiTheme="minorHAnsi" w:hAnsiTheme="minorHAnsi"/>
                <w:b/>
                <w:sz w:val="20"/>
                <w:szCs w:val="20"/>
              </w:rPr>
            </w:pPr>
            <w:r w:rsidRPr="00225EE7">
              <w:rPr>
                <w:rFonts w:asciiTheme="minorHAnsi" w:hAnsiTheme="minorHAnsi"/>
                <w:b/>
                <w:sz w:val="20"/>
                <w:szCs w:val="20"/>
              </w:rPr>
              <w:t>5</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b/>
                <w:sz w:val="20"/>
                <w:szCs w:val="20"/>
              </w:rPr>
            </w:pPr>
            <w:r w:rsidRPr="00225EE7">
              <w:rPr>
                <w:rFonts w:asciiTheme="minorHAnsi" w:hAnsiTheme="minorHAnsi"/>
                <w:b/>
                <w:sz w:val="20"/>
                <w:szCs w:val="20"/>
              </w:rPr>
              <w:t xml:space="preserve">3.3 Ocean renewable energy (wave, tidal, OTEC, thermal, biofuels, etc.) </w:t>
            </w:r>
          </w:p>
        </w:tc>
        <w:tc>
          <w:tcPr>
            <w:tcW w:w="571"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9"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9" w:type="dxa"/>
            <w:shd w:val="clear" w:color="auto" w:fill="DAEEF3" w:themeFill="accent5" w:themeFillTint="33"/>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6</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3.4 Carbon capture and storage </w:t>
            </w:r>
          </w:p>
        </w:tc>
        <w:tc>
          <w:tcPr>
            <w:tcW w:w="571"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EC4BAF">
            <w:pPr>
              <w:pStyle w:val="Default"/>
              <w:keepNext/>
              <w:keepLines/>
              <w:jc w:val="center"/>
              <w:rPr>
                <w:rFonts w:asciiTheme="minorHAnsi" w:hAnsiTheme="minorHAnsi"/>
                <w:sz w:val="20"/>
                <w:szCs w:val="20"/>
              </w:rPr>
            </w:pPr>
            <w:r w:rsidRPr="00225EE7">
              <w:rPr>
                <w:rFonts w:asciiTheme="minorHAnsi" w:hAnsiTheme="minorHAnsi"/>
                <w:sz w:val="20"/>
                <w:szCs w:val="20"/>
              </w:rPr>
              <w:t>2</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3.5 Aggregates mining (sand, gravel, etc.)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r w:rsidR="005F6F4A" w:rsidRPr="00225EE7">
              <w:rPr>
                <w:rFonts w:asciiTheme="minorHAnsi" w:hAnsiTheme="minorHAnsi"/>
                <w:sz w:val="20"/>
                <w:szCs w:val="20"/>
              </w:rPr>
              <w:t>1</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b/>
                <w:sz w:val="20"/>
                <w:szCs w:val="20"/>
              </w:rPr>
            </w:pPr>
            <w:r w:rsidRPr="00225EE7">
              <w:rPr>
                <w:rFonts w:asciiTheme="minorHAnsi" w:hAnsiTheme="minorHAnsi"/>
                <w:b/>
                <w:sz w:val="20"/>
                <w:szCs w:val="20"/>
              </w:rPr>
              <w:t xml:space="preserve">3.6 Marine minerals mining </w:t>
            </w:r>
          </w:p>
        </w:tc>
        <w:tc>
          <w:tcPr>
            <w:tcW w:w="571" w:type="dxa"/>
            <w:vAlign w:val="center"/>
          </w:tcPr>
          <w:p w:rsidR="00276BD7" w:rsidRPr="00225EE7" w:rsidRDefault="000C590E">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9" w:type="dxa"/>
            <w:vAlign w:val="center"/>
          </w:tcPr>
          <w:p w:rsidR="00276BD7" w:rsidRPr="00225EE7" w:rsidRDefault="000C590E">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9" w:type="dxa"/>
            <w:shd w:val="clear" w:color="auto" w:fill="DAEEF3" w:themeFill="accent5" w:themeFillTint="33"/>
            <w:vAlign w:val="center"/>
          </w:tcPr>
          <w:p w:rsidR="00276BD7" w:rsidRPr="00225EE7" w:rsidRDefault="00EC4BAF">
            <w:pPr>
              <w:pStyle w:val="Default"/>
              <w:keepNext/>
              <w:keepLines/>
              <w:jc w:val="center"/>
              <w:rPr>
                <w:rFonts w:asciiTheme="minorHAnsi" w:hAnsiTheme="minorHAnsi"/>
                <w:b/>
                <w:sz w:val="20"/>
                <w:szCs w:val="20"/>
              </w:rPr>
            </w:pPr>
            <w:r w:rsidRPr="00225EE7">
              <w:rPr>
                <w:rFonts w:asciiTheme="minorHAnsi" w:hAnsiTheme="minorHAnsi"/>
                <w:b/>
                <w:sz w:val="20"/>
                <w:szCs w:val="20"/>
              </w:rPr>
              <w:t>4</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3.7 Securing fresh water supply (desalination)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276BD7" w:rsidRPr="00225EE7" w:rsidRDefault="00EC4BAF">
            <w:pPr>
              <w:pStyle w:val="Default"/>
              <w:keepNext/>
              <w:keepLines/>
              <w:jc w:val="center"/>
              <w:rPr>
                <w:rFonts w:asciiTheme="minorHAnsi" w:hAnsiTheme="minorHAnsi"/>
                <w:sz w:val="20"/>
                <w:szCs w:val="20"/>
              </w:rPr>
            </w:pPr>
            <w:r w:rsidRPr="00225EE7">
              <w:rPr>
                <w:rFonts w:asciiTheme="minorHAnsi" w:hAnsiTheme="minorHAnsi"/>
                <w:sz w:val="20"/>
                <w:szCs w:val="20"/>
              </w:rPr>
              <w:t>-</w:t>
            </w:r>
            <w:r w:rsidR="005F6F4A" w:rsidRPr="00225EE7">
              <w:rPr>
                <w:rFonts w:asciiTheme="minorHAnsi" w:hAnsiTheme="minorHAnsi"/>
                <w:sz w:val="20"/>
                <w:szCs w:val="20"/>
              </w:rPr>
              <w:t>2</w:t>
            </w:r>
          </w:p>
        </w:tc>
      </w:tr>
      <w:tr w:rsidR="00276BD7" w:rsidRPr="00225EE7" w:rsidTr="007F22B2">
        <w:trPr>
          <w:trHeight w:val="20"/>
          <w:jc w:val="center"/>
        </w:trPr>
        <w:tc>
          <w:tcPr>
            <w:tcW w:w="1387" w:type="dxa"/>
            <w:vMerge w:val="restart"/>
          </w:tcPr>
          <w:p w:rsidR="00276BD7" w:rsidRPr="00225EE7" w:rsidRDefault="00276BD7" w:rsidP="000A6BC7">
            <w:pPr>
              <w:pStyle w:val="Default"/>
              <w:keepNext/>
              <w:keepLines/>
              <w:ind w:left="104" w:hanging="142"/>
              <w:rPr>
                <w:rFonts w:asciiTheme="minorHAnsi" w:hAnsiTheme="minorHAnsi"/>
                <w:sz w:val="20"/>
                <w:szCs w:val="20"/>
              </w:rPr>
            </w:pPr>
            <w:r w:rsidRPr="00225EE7">
              <w:rPr>
                <w:rFonts w:asciiTheme="minorHAnsi" w:hAnsiTheme="minorHAnsi"/>
                <w:sz w:val="20"/>
                <w:szCs w:val="20"/>
              </w:rPr>
              <w:t xml:space="preserve">4. Leisure, working and living </w:t>
            </w: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4.1 Coastal tourism </w:t>
            </w:r>
          </w:p>
        </w:tc>
        <w:tc>
          <w:tcPr>
            <w:tcW w:w="571"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sz w:val="20"/>
                <w:szCs w:val="20"/>
              </w:rPr>
            </w:pPr>
            <w:r w:rsidRPr="00225EE7">
              <w:rPr>
                <w:rFonts w:asciiTheme="minorHAnsi" w:hAnsiTheme="minorHAnsi"/>
                <w:sz w:val="20"/>
                <w:szCs w:val="20"/>
              </w:rPr>
              <w:t>3</w:t>
            </w:r>
          </w:p>
        </w:tc>
      </w:tr>
      <w:tr w:rsidR="00276BD7" w:rsidRPr="00225EE7" w:rsidTr="007F22B2">
        <w:trPr>
          <w:trHeight w:val="20"/>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b/>
                <w:sz w:val="20"/>
                <w:szCs w:val="20"/>
              </w:rPr>
            </w:pPr>
            <w:r w:rsidRPr="00225EE7">
              <w:rPr>
                <w:rFonts w:asciiTheme="minorHAnsi" w:hAnsiTheme="minorHAnsi"/>
                <w:b/>
                <w:sz w:val="20"/>
                <w:szCs w:val="20"/>
              </w:rPr>
              <w:t xml:space="preserve">4.2 Yachting and marinas </w:t>
            </w:r>
          </w:p>
        </w:tc>
        <w:tc>
          <w:tcPr>
            <w:tcW w:w="571"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7" w:type="dxa"/>
            <w:vAlign w:val="center"/>
          </w:tcPr>
          <w:p w:rsidR="00276BD7" w:rsidRPr="00225EE7" w:rsidRDefault="00276BD7">
            <w:pPr>
              <w:pStyle w:val="Default"/>
              <w:keepNext/>
              <w:keepLines/>
              <w:jc w:val="center"/>
              <w:rPr>
                <w:rFonts w:asciiTheme="minorHAnsi" w:hAnsiTheme="minorHAnsi"/>
                <w:b/>
                <w:sz w:val="20"/>
                <w:szCs w:val="20"/>
              </w:rPr>
            </w:pPr>
            <w:r w:rsidRPr="00225EE7">
              <w:rPr>
                <w:rFonts w:asciiTheme="minorHAnsi" w:hAnsiTheme="minorHAnsi"/>
                <w:b/>
                <w:sz w:val="20"/>
                <w:szCs w:val="20"/>
              </w:rPr>
              <w:t>+</w:t>
            </w:r>
          </w:p>
        </w:tc>
        <w:tc>
          <w:tcPr>
            <w:tcW w:w="569" w:type="dxa"/>
            <w:vAlign w:val="center"/>
          </w:tcPr>
          <w:p w:rsidR="00276BD7" w:rsidRPr="00225EE7" w:rsidRDefault="000C590E">
            <w:pPr>
              <w:pStyle w:val="Default"/>
              <w:keepNext/>
              <w:keepLines/>
              <w:jc w:val="center"/>
              <w:rPr>
                <w:rFonts w:asciiTheme="minorHAnsi" w:hAnsiTheme="minorHAnsi"/>
                <w:b/>
                <w:sz w:val="20"/>
                <w:szCs w:val="20"/>
              </w:rPr>
            </w:pPr>
            <w:r w:rsidRPr="00225EE7">
              <w:rPr>
                <w:rFonts w:asciiTheme="minorHAnsi" w:hAnsiTheme="minorHAnsi"/>
                <w:b/>
                <w:sz w:val="20"/>
                <w:szCs w:val="20"/>
              </w:rPr>
              <w:t>0</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b/>
                <w:sz w:val="20"/>
                <w:szCs w:val="20"/>
              </w:rPr>
            </w:pPr>
            <w:r w:rsidRPr="007F22B2">
              <w:rPr>
                <w:rFonts w:asciiTheme="minorHAnsi" w:hAnsiTheme="minorHAnsi"/>
                <w:b/>
                <w:sz w:val="20"/>
                <w:szCs w:val="20"/>
              </w:rPr>
              <w:t>5</w:t>
            </w:r>
          </w:p>
        </w:tc>
      </w:tr>
      <w:tr w:rsidR="00276BD7" w:rsidRPr="00225EE7" w:rsidTr="007F22B2">
        <w:trPr>
          <w:trHeight w:val="218"/>
          <w:jc w:val="center"/>
        </w:trPr>
        <w:tc>
          <w:tcPr>
            <w:tcW w:w="1387" w:type="dxa"/>
            <w:vMerge/>
          </w:tcPr>
          <w:p w:rsidR="00276BD7" w:rsidRPr="00225EE7" w:rsidRDefault="00276BD7" w:rsidP="000A6BC7">
            <w:pPr>
              <w:pStyle w:val="Default"/>
              <w:keepNext/>
              <w:keepLines/>
              <w:ind w:left="104" w:hanging="142"/>
              <w:rPr>
                <w:rFonts w:asciiTheme="minorHAnsi" w:hAnsiTheme="minorHAnsi"/>
                <w:color w:val="auto"/>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 xml:space="preserve">4.3 Cruise tourism </w:t>
            </w:r>
          </w:p>
        </w:tc>
        <w:tc>
          <w:tcPr>
            <w:tcW w:w="571"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shd w:val="clear" w:color="auto" w:fill="DAEEF3" w:themeFill="accent5" w:themeFillTint="33"/>
            <w:vAlign w:val="center"/>
          </w:tcPr>
          <w:p w:rsidR="00276BD7" w:rsidRPr="00225EE7" w:rsidRDefault="005F6F4A">
            <w:pPr>
              <w:pStyle w:val="Default"/>
              <w:keepNext/>
              <w:keepLines/>
              <w:jc w:val="center"/>
              <w:rPr>
                <w:rFonts w:asciiTheme="minorHAnsi" w:hAnsiTheme="minorHAnsi"/>
                <w:sz w:val="20"/>
                <w:szCs w:val="20"/>
              </w:rPr>
            </w:pPr>
            <w:r w:rsidRPr="00225EE7">
              <w:rPr>
                <w:rFonts w:asciiTheme="minorHAnsi" w:hAnsiTheme="minorHAnsi"/>
                <w:sz w:val="20"/>
                <w:szCs w:val="20"/>
              </w:rPr>
              <w:t>3</w:t>
            </w:r>
          </w:p>
        </w:tc>
      </w:tr>
      <w:tr w:rsidR="000C590E" w:rsidRPr="00225EE7" w:rsidTr="007F22B2">
        <w:trPr>
          <w:trHeight w:val="20"/>
          <w:jc w:val="center"/>
        </w:trPr>
        <w:tc>
          <w:tcPr>
            <w:tcW w:w="1387" w:type="dxa"/>
          </w:tcPr>
          <w:p w:rsidR="000C590E" w:rsidRPr="00225EE7" w:rsidRDefault="000C590E" w:rsidP="000A6BC7">
            <w:pPr>
              <w:pStyle w:val="Default"/>
              <w:keepNext/>
              <w:keepLines/>
              <w:ind w:left="104" w:hanging="142"/>
              <w:rPr>
                <w:rFonts w:asciiTheme="minorHAnsi" w:hAnsiTheme="minorHAnsi"/>
                <w:sz w:val="20"/>
                <w:szCs w:val="20"/>
              </w:rPr>
            </w:pPr>
            <w:r w:rsidRPr="00225EE7">
              <w:rPr>
                <w:rFonts w:asciiTheme="minorHAnsi" w:hAnsiTheme="minorHAnsi"/>
                <w:sz w:val="20"/>
                <w:szCs w:val="20"/>
              </w:rPr>
              <w:t xml:space="preserve">5. Coastal protection </w:t>
            </w:r>
          </w:p>
        </w:tc>
        <w:tc>
          <w:tcPr>
            <w:tcW w:w="4211" w:type="dxa"/>
            <w:vAlign w:val="center"/>
          </w:tcPr>
          <w:p w:rsidR="000C590E" w:rsidRPr="00225EE7" w:rsidRDefault="000C590E">
            <w:pPr>
              <w:pStyle w:val="Default"/>
              <w:keepNext/>
              <w:keepLines/>
              <w:rPr>
                <w:rFonts w:asciiTheme="minorHAnsi" w:hAnsiTheme="minorHAnsi"/>
                <w:sz w:val="20"/>
                <w:szCs w:val="20"/>
              </w:rPr>
            </w:pPr>
            <w:r w:rsidRPr="00225EE7">
              <w:rPr>
                <w:rFonts w:asciiTheme="minorHAnsi" w:hAnsiTheme="minorHAnsi"/>
                <w:sz w:val="20"/>
                <w:szCs w:val="20"/>
              </w:rPr>
              <w:t xml:space="preserve">5.1 Protection against flooding and erosion </w:t>
            </w:r>
          </w:p>
        </w:tc>
        <w:tc>
          <w:tcPr>
            <w:tcW w:w="571" w:type="dxa"/>
            <w:vAlign w:val="center"/>
          </w:tcPr>
          <w:p w:rsidR="000C590E" w:rsidRPr="00225EE7" w:rsidRDefault="00EC4BAF">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0C590E"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0C590E"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0C590E"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0C590E"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vAlign w:val="center"/>
          </w:tcPr>
          <w:p w:rsidR="000C590E"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9" w:type="dxa"/>
            <w:shd w:val="clear" w:color="auto" w:fill="DAEEF3" w:themeFill="accent5" w:themeFillTint="33"/>
            <w:vAlign w:val="center"/>
          </w:tcPr>
          <w:p w:rsidR="000C590E" w:rsidRPr="00225EE7" w:rsidRDefault="005F6F4A">
            <w:pPr>
              <w:pStyle w:val="Default"/>
              <w:keepNext/>
              <w:keepLines/>
              <w:jc w:val="center"/>
              <w:rPr>
                <w:rFonts w:asciiTheme="minorHAnsi" w:hAnsiTheme="minorHAnsi"/>
                <w:sz w:val="20"/>
                <w:szCs w:val="20"/>
              </w:rPr>
            </w:pPr>
            <w:r w:rsidRPr="00225EE7">
              <w:rPr>
                <w:rFonts w:asciiTheme="minorHAnsi" w:hAnsiTheme="minorHAnsi"/>
                <w:sz w:val="20"/>
                <w:szCs w:val="20"/>
              </w:rPr>
              <w:t>2</w:t>
            </w:r>
          </w:p>
        </w:tc>
      </w:tr>
      <w:tr w:rsidR="00276BD7" w:rsidRPr="00225EE7" w:rsidTr="007F22B2">
        <w:trPr>
          <w:trHeight w:val="606"/>
          <w:jc w:val="center"/>
        </w:trPr>
        <w:tc>
          <w:tcPr>
            <w:tcW w:w="1387" w:type="dxa"/>
            <w:vMerge w:val="restart"/>
          </w:tcPr>
          <w:p w:rsidR="00276BD7" w:rsidRPr="00225EE7" w:rsidRDefault="00276BD7" w:rsidP="000A6BC7">
            <w:pPr>
              <w:pStyle w:val="Default"/>
              <w:keepNext/>
              <w:keepLines/>
              <w:ind w:left="104" w:hanging="142"/>
              <w:rPr>
                <w:rFonts w:asciiTheme="minorHAnsi" w:hAnsiTheme="minorHAnsi"/>
                <w:sz w:val="20"/>
                <w:szCs w:val="20"/>
              </w:rPr>
            </w:pPr>
            <w:r w:rsidRPr="00225EE7">
              <w:rPr>
                <w:rFonts w:asciiTheme="minorHAnsi" w:hAnsiTheme="minorHAnsi"/>
                <w:sz w:val="20"/>
                <w:szCs w:val="20"/>
              </w:rPr>
              <w:t xml:space="preserve">6. Maritime monitoring and surveillance </w:t>
            </w:r>
          </w:p>
        </w:tc>
        <w:tc>
          <w:tcPr>
            <w:tcW w:w="4211" w:type="dxa"/>
            <w:vAlign w:val="center"/>
          </w:tcPr>
          <w:p w:rsidR="00276BD7" w:rsidRPr="00225EE7" w:rsidRDefault="00276BD7">
            <w:pPr>
              <w:pStyle w:val="Default"/>
              <w:keepNext/>
              <w:keepLines/>
              <w:rPr>
                <w:rFonts w:asciiTheme="minorHAnsi" w:hAnsiTheme="minorHAnsi"/>
                <w:b/>
                <w:sz w:val="20"/>
                <w:szCs w:val="20"/>
              </w:rPr>
            </w:pPr>
            <w:r w:rsidRPr="00225EE7">
              <w:rPr>
                <w:rFonts w:asciiTheme="minorHAnsi" w:hAnsiTheme="minorHAnsi"/>
                <w:b/>
                <w:sz w:val="20"/>
                <w:szCs w:val="20"/>
              </w:rPr>
              <w:t>6.1/6.2 Traceability and security of goods supply chains, Prevent and protect against illegal movement of people and goods</w:t>
            </w:r>
          </w:p>
        </w:tc>
        <w:tc>
          <w:tcPr>
            <w:tcW w:w="571" w:type="dxa"/>
            <w:vAlign w:val="center"/>
          </w:tcPr>
          <w:p w:rsidR="00276BD7" w:rsidRPr="007F22B2" w:rsidRDefault="000C590E">
            <w:pPr>
              <w:pStyle w:val="Default"/>
              <w:keepNext/>
              <w:keepLines/>
              <w:jc w:val="center"/>
              <w:rPr>
                <w:rFonts w:asciiTheme="minorHAnsi" w:hAnsiTheme="minorHAnsi"/>
                <w:b/>
                <w:sz w:val="20"/>
                <w:szCs w:val="20"/>
              </w:rPr>
            </w:pPr>
            <w:r w:rsidRPr="007F22B2">
              <w:rPr>
                <w:rFonts w:asciiTheme="minorHAnsi" w:hAnsiTheme="minorHAnsi"/>
                <w:b/>
                <w:sz w:val="20"/>
                <w:szCs w:val="20"/>
              </w:rPr>
              <w:t>+</w:t>
            </w:r>
          </w:p>
        </w:tc>
        <w:tc>
          <w:tcPr>
            <w:tcW w:w="567" w:type="dxa"/>
            <w:vAlign w:val="center"/>
          </w:tcPr>
          <w:p w:rsidR="00276BD7" w:rsidRPr="007F22B2" w:rsidRDefault="000C590E">
            <w:pPr>
              <w:pStyle w:val="Default"/>
              <w:keepNext/>
              <w:keepLines/>
              <w:jc w:val="center"/>
              <w:rPr>
                <w:rFonts w:asciiTheme="minorHAnsi" w:hAnsiTheme="minorHAnsi"/>
                <w:b/>
                <w:sz w:val="20"/>
                <w:szCs w:val="20"/>
              </w:rPr>
            </w:pPr>
            <w:r w:rsidRPr="007F22B2">
              <w:rPr>
                <w:rFonts w:asciiTheme="minorHAnsi" w:hAnsiTheme="minorHAnsi"/>
                <w:b/>
                <w:sz w:val="20"/>
                <w:szCs w:val="20"/>
              </w:rPr>
              <w:t>+</w:t>
            </w:r>
          </w:p>
        </w:tc>
        <w:tc>
          <w:tcPr>
            <w:tcW w:w="567" w:type="dxa"/>
            <w:vAlign w:val="center"/>
          </w:tcPr>
          <w:p w:rsidR="00276BD7" w:rsidRPr="007F22B2" w:rsidRDefault="000C590E">
            <w:pPr>
              <w:pStyle w:val="Default"/>
              <w:keepNext/>
              <w:keepLines/>
              <w:jc w:val="center"/>
              <w:rPr>
                <w:rFonts w:asciiTheme="minorHAnsi" w:hAnsiTheme="minorHAnsi"/>
                <w:b/>
                <w:sz w:val="20"/>
                <w:szCs w:val="20"/>
              </w:rPr>
            </w:pPr>
            <w:r w:rsidRPr="007F22B2">
              <w:rPr>
                <w:rFonts w:asciiTheme="minorHAnsi" w:hAnsiTheme="minorHAnsi"/>
                <w:b/>
                <w:sz w:val="20"/>
                <w:szCs w:val="20"/>
              </w:rPr>
              <w:t>0</w:t>
            </w:r>
          </w:p>
        </w:tc>
        <w:tc>
          <w:tcPr>
            <w:tcW w:w="567" w:type="dxa"/>
            <w:vAlign w:val="center"/>
          </w:tcPr>
          <w:p w:rsidR="00276BD7" w:rsidRPr="007F22B2" w:rsidRDefault="00276BD7">
            <w:pPr>
              <w:pStyle w:val="Default"/>
              <w:keepNext/>
              <w:keepLines/>
              <w:jc w:val="center"/>
              <w:rPr>
                <w:rFonts w:asciiTheme="minorHAnsi" w:hAnsiTheme="minorHAnsi"/>
                <w:b/>
                <w:sz w:val="20"/>
                <w:szCs w:val="20"/>
              </w:rPr>
            </w:pPr>
            <w:r w:rsidRPr="007F22B2">
              <w:rPr>
                <w:rFonts w:asciiTheme="minorHAnsi" w:hAnsiTheme="minorHAnsi"/>
                <w:b/>
                <w:sz w:val="20"/>
                <w:szCs w:val="20"/>
              </w:rPr>
              <w:t>+</w:t>
            </w:r>
          </w:p>
        </w:tc>
        <w:tc>
          <w:tcPr>
            <w:tcW w:w="567" w:type="dxa"/>
            <w:vAlign w:val="center"/>
          </w:tcPr>
          <w:p w:rsidR="00276BD7" w:rsidRPr="007F22B2" w:rsidRDefault="00276BD7">
            <w:pPr>
              <w:pStyle w:val="Default"/>
              <w:keepNext/>
              <w:keepLines/>
              <w:jc w:val="center"/>
              <w:rPr>
                <w:rFonts w:asciiTheme="minorHAnsi" w:hAnsiTheme="minorHAnsi"/>
                <w:b/>
                <w:sz w:val="20"/>
                <w:szCs w:val="20"/>
              </w:rPr>
            </w:pPr>
            <w:r w:rsidRPr="007F22B2">
              <w:rPr>
                <w:rFonts w:asciiTheme="minorHAnsi" w:hAnsiTheme="minorHAnsi"/>
                <w:b/>
                <w:sz w:val="20"/>
                <w:szCs w:val="20"/>
              </w:rPr>
              <w:t>+</w:t>
            </w:r>
          </w:p>
        </w:tc>
        <w:tc>
          <w:tcPr>
            <w:tcW w:w="569" w:type="dxa"/>
            <w:vAlign w:val="center"/>
          </w:tcPr>
          <w:p w:rsidR="00276BD7" w:rsidRPr="007F22B2" w:rsidRDefault="000C590E">
            <w:pPr>
              <w:pStyle w:val="Default"/>
              <w:keepNext/>
              <w:keepLines/>
              <w:jc w:val="center"/>
              <w:rPr>
                <w:rFonts w:asciiTheme="minorHAnsi" w:hAnsiTheme="minorHAnsi"/>
                <w:b/>
                <w:sz w:val="20"/>
                <w:szCs w:val="20"/>
              </w:rPr>
            </w:pPr>
            <w:r w:rsidRPr="007F22B2">
              <w:rPr>
                <w:rFonts w:asciiTheme="minorHAnsi" w:hAnsiTheme="minorHAnsi"/>
                <w:b/>
                <w:sz w:val="20"/>
                <w:szCs w:val="20"/>
              </w:rPr>
              <w:t>0</w:t>
            </w:r>
          </w:p>
        </w:tc>
        <w:tc>
          <w:tcPr>
            <w:tcW w:w="569" w:type="dxa"/>
            <w:shd w:val="clear" w:color="auto" w:fill="DAEEF3" w:themeFill="accent5" w:themeFillTint="33"/>
            <w:vAlign w:val="center"/>
          </w:tcPr>
          <w:p w:rsidR="00276BD7" w:rsidRPr="007F22B2" w:rsidRDefault="005F6F4A">
            <w:pPr>
              <w:pStyle w:val="Default"/>
              <w:keepNext/>
              <w:keepLines/>
              <w:jc w:val="center"/>
              <w:rPr>
                <w:rFonts w:asciiTheme="minorHAnsi" w:hAnsiTheme="minorHAnsi"/>
                <w:b/>
                <w:sz w:val="20"/>
                <w:szCs w:val="20"/>
              </w:rPr>
            </w:pPr>
            <w:r w:rsidRPr="007F22B2">
              <w:rPr>
                <w:rFonts w:asciiTheme="minorHAnsi" w:hAnsiTheme="minorHAnsi"/>
                <w:b/>
                <w:sz w:val="20"/>
                <w:szCs w:val="20"/>
              </w:rPr>
              <w:t>4</w:t>
            </w:r>
          </w:p>
        </w:tc>
      </w:tr>
      <w:tr w:rsidR="00276BD7" w:rsidRPr="00225EE7" w:rsidTr="007F22B2">
        <w:trPr>
          <w:trHeight w:val="234"/>
          <w:jc w:val="center"/>
        </w:trPr>
        <w:tc>
          <w:tcPr>
            <w:tcW w:w="1387" w:type="dxa"/>
            <w:vMerge/>
          </w:tcPr>
          <w:p w:rsidR="00276BD7" w:rsidRPr="00225EE7" w:rsidRDefault="00276BD7" w:rsidP="000A6BC7">
            <w:pPr>
              <w:pStyle w:val="Default"/>
              <w:keepNext/>
              <w:keepLines/>
              <w:ind w:left="104" w:hanging="142"/>
              <w:rPr>
                <w:rFonts w:asciiTheme="minorHAnsi" w:hAnsiTheme="minorHAnsi"/>
                <w:sz w:val="20"/>
                <w:szCs w:val="20"/>
              </w:rPr>
            </w:pPr>
          </w:p>
        </w:tc>
        <w:tc>
          <w:tcPr>
            <w:tcW w:w="4211" w:type="dxa"/>
            <w:vAlign w:val="center"/>
          </w:tcPr>
          <w:p w:rsidR="00276BD7" w:rsidRPr="00225EE7" w:rsidRDefault="00276BD7">
            <w:pPr>
              <w:pStyle w:val="Default"/>
              <w:keepNext/>
              <w:keepLines/>
              <w:rPr>
                <w:rFonts w:asciiTheme="minorHAnsi" w:hAnsiTheme="minorHAnsi"/>
                <w:sz w:val="20"/>
                <w:szCs w:val="20"/>
              </w:rPr>
            </w:pPr>
            <w:r w:rsidRPr="00225EE7">
              <w:rPr>
                <w:rFonts w:asciiTheme="minorHAnsi" w:hAnsiTheme="minorHAnsi"/>
                <w:sz w:val="20"/>
                <w:szCs w:val="20"/>
              </w:rPr>
              <w:t>6.1 Environmental monitoring</w:t>
            </w:r>
          </w:p>
        </w:tc>
        <w:tc>
          <w:tcPr>
            <w:tcW w:w="571"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7"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w:t>
            </w:r>
          </w:p>
        </w:tc>
        <w:tc>
          <w:tcPr>
            <w:tcW w:w="567" w:type="dxa"/>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vAlign w:val="center"/>
          </w:tcPr>
          <w:p w:rsidR="00276BD7" w:rsidRPr="00225EE7" w:rsidRDefault="000C590E">
            <w:pPr>
              <w:pStyle w:val="Default"/>
              <w:keepNext/>
              <w:keepLines/>
              <w:jc w:val="center"/>
              <w:rPr>
                <w:rFonts w:asciiTheme="minorHAnsi" w:hAnsiTheme="minorHAnsi"/>
                <w:sz w:val="20"/>
                <w:szCs w:val="20"/>
              </w:rPr>
            </w:pPr>
            <w:r w:rsidRPr="00225EE7">
              <w:rPr>
                <w:rFonts w:asciiTheme="minorHAnsi" w:hAnsiTheme="minorHAnsi"/>
                <w:sz w:val="20"/>
                <w:szCs w:val="20"/>
              </w:rPr>
              <w:t>0</w:t>
            </w:r>
          </w:p>
        </w:tc>
        <w:tc>
          <w:tcPr>
            <w:tcW w:w="569" w:type="dxa"/>
            <w:shd w:val="clear" w:color="auto" w:fill="DAEEF3" w:themeFill="accent5" w:themeFillTint="33"/>
            <w:vAlign w:val="center"/>
          </w:tcPr>
          <w:p w:rsidR="00276BD7" w:rsidRPr="00225EE7" w:rsidRDefault="00276BD7">
            <w:pPr>
              <w:pStyle w:val="Default"/>
              <w:keepNext/>
              <w:keepLines/>
              <w:jc w:val="center"/>
              <w:rPr>
                <w:rFonts w:asciiTheme="minorHAnsi" w:hAnsiTheme="minorHAnsi"/>
                <w:sz w:val="20"/>
                <w:szCs w:val="20"/>
              </w:rPr>
            </w:pPr>
            <w:r w:rsidRPr="00225EE7">
              <w:rPr>
                <w:rFonts w:asciiTheme="minorHAnsi" w:hAnsiTheme="minorHAnsi"/>
                <w:sz w:val="20"/>
                <w:szCs w:val="20"/>
              </w:rPr>
              <w:t>-</w:t>
            </w:r>
            <w:r w:rsidR="005F6F4A" w:rsidRPr="00225EE7">
              <w:rPr>
                <w:rFonts w:asciiTheme="minorHAnsi" w:hAnsiTheme="minorHAnsi"/>
                <w:sz w:val="20"/>
                <w:szCs w:val="20"/>
              </w:rPr>
              <w:t>1</w:t>
            </w:r>
          </w:p>
        </w:tc>
      </w:tr>
    </w:tbl>
    <w:p w:rsidR="00A60D68" w:rsidRDefault="00A60D68" w:rsidP="007F22B2">
      <w:pPr>
        <w:rPr>
          <w:lang w:val="en-GB"/>
        </w:rPr>
      </w:pPr>
    </w:p>
    <w:p w:rsidR="00A60D68" w:rsidRPr="00290888" w:rsidRDefault="00A60D68" w:rsidP="00A60D68">
      <w:pPr>
        <w:keepNext/>
        <w:keepLines/>
        <w:rPr>
          <w:lang w:val="en-GB"/>
        </w:rPr>
      </w:pPr>
      <w:r w:rsidRPr="00290888">
        <w:rPr>
          <w:lang w:val="en-GB"/>
        </w:rPr>
        <w:t>The last column summarises the final score in terms of number of positive/negative judgements:</w:t>
      </w:r>
    </w:p>
    <w:p w:rsidR="00A60D68" w:rsidRPr="0009651C" w:rsidRDefault="00A60D68" w:rsidP="00A60D68">
      <w:pPr>
        <w:rPr>
          <w:lang w:val="en-GB"/>
        </w:rPr>
      </w:pPr>
      <w:r w:rsidRPr="0009651C">
        <w:rPr>
          <w:lang w:val="en-GB"/>
        </w:rPr>
        <w:t>“+” in case positive impact of the economic activities on this indicator;</w:t>
      </w:r>
    </w:p>
    <w:p w:rsidR="00A60D68" w:rsidRPr="0009651C" w:rsidRDefault="00A60D68" w:rsidP="00A60D68">
      <w:pPr>
        <w:rPr>
          <w:lang w:val="en-GB"/>
        </w:rPr>
      </w:pPr>
      <w:r w:rsidRPr="0009651C">
        <w:rPr>
          <w:lang w:val="en-GB"/>
        </w:rPr>
        <w:t>“-” in case of negative impact;</w:t>
      </w:r>
    </w:p>
    <w:p w:rsidR="00A60D68" w:rsidRPr="0009651C" w:rsidRDefault="00A60D68" w:rsidP="00A60D68">
      <w:pPr>
        <w:rPr>
          <w:lang w:val="en-GB"/>
        </w:rPr>
      </w:pPr>
      <w:r w:rsidRPr="0009651C">
        <w:rPr>
          <w:lang w:val="en-GB"/>
        </w:rPr>
        <w:t>“0” in case the impact is negligible or no impact;</w:t>
      </w:r>
    </w:p>
    <w:p w:rsidR="00A60D68" w:rsidRPr="0009651C" w:rsidRDefault="00A60D68" w:rsidP="00A60D68">
      <w:pPr>
        <w:rPr>
          <w:lang w:val="en-GB"/>
        </w:rPr>
      </w:pPr>
      <w:r w:rsidRPr="0009651C">
        <w:rPr>
          <w:lang w:val="en-GB"/>
        </w:rPr>
        <w:t xml:space="preserve">“0” will have no impact, “-” will have the effect of annulling “+” (e.g.: in the same row: ++++ and – and 0 will give the final score of +++). </w:t>
      </w:r>
    </w:p>
    <w:p w:rsidR="00A60D68" w:rsidRPr="0009651C" w:rsidRDefault="00A60D68" w:rsidP="00A60D68">
      <w:pPr>
        <w:rPr>
          <w:lang w:val="en-GB"/>
        </w:rPr>
      </w:pPr>
      <w:r w:rsidRPr="0009651C">
        <w:rPr>
          <w:lang w:val="en-GB"/>
        </w:rPr>
        <w:t>“?” will not affect the final score.</w:t>
      </w:r>
    </w:p>
    <w:p w:rsidR="00276BD7" w:rsidRPr="000C0C93" w:rsidRDefault="00276BD7" w:rsidP="007368F6">
      <w:pPr>
        <w:pStyle w:val="Caption"/>
      </w:pPr>
      <w:r w:rsidRPr="000C0C93">
        <w:lastRenderedPageBreak/>
        <w:t xml:space="preserve">Table </w:t>
      </w:r>
      <w:r w:rsidR="00E8042A">
        <w:t>7</w:t>
      </w:r>
      <w:r w:rsidRPr="000C0C93">
        <w:t xml:space="preserve"> - Ranking order of the 7 most promising maritime </w:t>
      </w:r>
      <w:r>
        <w:t xml:space="preserve">economic activities </w:t>
      </w:r>
      <w:r w:rsidRPr="000C0C93">
        <w:t>in a MS at NUTS-0 level</w:t>
      </w:r>
    </w:p>
    <w:tbl>
      <w:tblPr>
        <w:tblW w:w="9819" w:type="dxa"/>
        <w:tblLook w:val="04A0" w:firstRow="1" w:lastRow="0" w:firstColumn="1" w:lastColumn="0" w:noHBand="0" w:noVBand="1"/>
      </w:tblPr>
      <w:tblGrid>
        <w:gridCol w:w="874"/>
        <w:gridCol w:w="7314"/>
        <w:gridCol w:w="1631"/>
      </w:tblGrid>
      <w:tr w:rsidR="00276BD7" w:rsidRPr="00225EE7" w:rsidTr="00A7060D">
        <w:trPr>
          <w:trHeight w:val="454"/>
          <w:tblHeader/>
        </w:trPr>
        <w:tc>
          <w:tcPr>
            <w:tcW w:w="874"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76BD7" w:rsidRPr="00225EE7" w:rsidRDefault="00276BD7" w:rsidP="007368F6">
            <w:pPr>
              <w:keepNext/>
              <w:keepLines/>
              <w:jc w:val="center"/>
              <w:rPr>
                <w:rFonts w:eastAsia="Times New Roman"/>
                <w:b/>
                <w:bCs/>
                <w:color w:val="000000"/>
                <w:sz w:val="20"/>
                <w:szCs w:val="20"/>
                <w:lang w:val="en-GB" w:eastAsia="en-GB"/>
              </w:rPr>
            </w:pPr>
            <w:r w:rsidRPr="00225EE7">
              <w:rPr>
                <w:rFonts w:eastAsia="Times New Roman"/>
                <w:b/>
                <w:bCs/>
                <w:color w:val="000000"/>
                <w:sz w:val="20"/>
                <w:szCs w:val="20"/>
                <w:lang w:val="en-GB" w:eastAsia="en-GB"/>
              </w:rPr>
              <w:t>Rank</w:t>
            </w:r>
          </w:p>
        </w:tc>
        <w:tc>
          <w:tcPr>
            <w:tcW w:w="7314" w:type="dxa"/>
            <w:tcBorders>
              <w:top w:val="single" w:sz="4" w:space="0" w:color="auto"/>
              <w:left w:val="single" w:sz="4" w:space="0" w:color="auto"/>
              <w:bottom w:val="single" w:sz="4" w:space="0" w:color="auto"/>
              <w:right w:val="single" w:sz="4" w:space="0" w:color="auto"/>
            </w:tcBorders>
            <w:shd w:val="clear" w:color="000000" w:fill="DBE5F1"/>
            <w:vAlign w:val="center"/>
          </w:tcPr>
          <w:p w:rsidR="00276BD7" w:rsidRPr="00225EE7" w:rsidRDefault="00276BD7" w:rsidP="007368F6">
            <w:pPr>
              <w:keepNext/>
              <w:keepLines/>
              <w:jc w:val="center"/>
              <w:rPr>
                <w:rFonts w:eastAsia="Times New Roman"/>
                <w:b/>
                <w:bCs/>
                <w:color w:val="000000"/>
                <w:sz w:val="20"/>
                <w:szCs w:val="20"/>
                <w:lang w:val="en-GB" w:eastAsia="en-GB"/>
              </w:rPr>
            </w:pPr>
            <w:r w:rsidRPr="00225EE7">
              <w:rPr>
                <w:rFonts w:eastAsia="Times New Roman"/>
                <w:b/>
                <w:bCs/>
                <w:color w:val="000000"/>
                <w:sz w:val="20"/>
                <w:szCs w:val="20"/>
                <w:lang w:val="en-GB" w:eastAsia="en-GB"/>
              </w:rPr>
              <w:t>Maritime economic activities</w:t>
            </w:r>
          </w:p>
        </w:tc>
        <w:tc>
          <w:tcPr>
            <w:tcW w:w="1631" w:type="dxa"/>
            <w:tcBorders>
              <w:top w:val="single" w:sz="4" w:space="0" w:color="auto"/>
              <w:left w:val="single" w:sz="4" w:space="0" w:color="auto"/>
              <w:bottom w:val="single" w:sz="4" w:space="0" w:color="auto"/>
              <w:right w:val="single" w:sz="4" w:space="0" w:color="auto"/>
            </w:tcBorders>
            <w:shd w:val="clear" w:color="000000" w:fill="DBE5F1"/>
          </w:tcPr>
          <w:p w:rsidR="00276BD7" w:rsidRPr="00225EE7" w:rsidRDefault="00276BD7" w:rsidP="007368F6">
            <w:pPr>
              <w:keepNext/>
              <w:keepLines/>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Score</w:t>
            </w:r>
          </w:p>
          <w:p w:rsidR="00276BD7" w:rsidRPr="00225EE7" w:rsidRDefault="00276BD7" w:rsidP="007368F6">
            <w:pPr>
              <w:keepNext/>
              <w:keepLines/>
              <w:jc w:val="center"/>
              <w:rPr>
                <w:rFonts w:ascii="Calibri" w:eastAsia="Times New Roman" w:hAnsi="Calibri" w:cs="Times New Roman"/>
                <w:b/>
                <w:bCs/>
                <w:color w:val="000000"/>
                <w:sz w:val="20"/>
                <w:szCs w:val="20"/>
                <w:lang w:val="en-GB" w:eastAsia="en-GB"/>
              </w:rPr>
            </w:pPr>
            <w:r w:rsidRPr="00225EE7">
              <w:rPr>
                <w:rFonts w:ascii="Calibri" w:eastAsia="Times New Roman" w:hAnsi="Calibri" w:cs="Times New Roman"/>
                <w:b/>
                <w:bCs/>
                <w:color w:val="000000"/>
                <w:sz w:val="20"/>
                <w:szCs w:val="20"/>
                <w:lang w:val="en-GB" w:eastAsia="en-GB"/>
              </w:rPr>
              <w:t>(applying formula)</w:t>
            </w:r>
          </w:p>
        </w:tc>
      </w:tr>
      <w:tr w:rsidR="00276BD7" w:rsidRPr="00225EE7" w:rsidTr="00A7060D">
        <w:trPr>
          <w:trHeight w:val="20"/>
        </w:trPr>
        <w:tc>
          <w:tcPr>
            <w:tcW w:w="874" w:type="dxa"/>
            <w:tcBorders>
              <w:top w:val="nil"/>
              <w:left w:val="single" w:sz="4" w:space="0" w:color="auto"/>
              <w:bottom w:val="single" w:sz="4" w:space="0" w:color="auto"/>
              <w:right w:val="single" w:sz="4" w:space="0" w:color="auto"/>
            </w:tcBorders>
            <w:shd w:val="clear" w:color="auto" w:fill="FFFFFF" w:themeFill="background1"/>
            <w:vAlign w:val="center"/>
            <w:hideMark/>
          </w:tcPr>
          <w:p w:rsidR="00276BD7" w:rsidRPr="00225EE7" w:rsidRDefault="00276BD7" w:rsidP="007368F6">
            <w:pPr>
              <w:keepNext/>
              <w:keepLines/>
              <w:jc w:val="center"/>
              <w:rPr>
                <w:rFonts w:eastAsia="Times New Roman"/>
                <w:color w:val="000000"/>
                <w:sz w:val="20"/>
                <w:szCs w:val="20"/>
                <w:lang w:val="en-GB" w:eastAsia="en-GB"/>
              </w:rPr>
            </w:pPr>
            <w:r w:rsidRPr="00225EE7">
              <w:rPr>
                <w:rFonts w:ascii="Calibri" w:eastAsia="Times New Roman" w:hAnsi="Calibri" w:cs="Times New Roman"/>
                <w:bCs/>
                <w:color w:val="000000"/>
                <w:sz w:val="20"/>
                <w:szCs w:val="20"/>
                <w:lang w:val="en-GB" w:eastAsia="en-GB"/>
              </w:rPr>
              <w:t>1.</w:t>
            </w:r>
          </w:p>
        </w:tc>
        <w:tc>
          <w:tcPr>
            <w:tcW w:w="7314" w:type="dxa"/>
            <w:tcBorders>
              <w:top w:val="nil"/>
              <w:left w:val="nil"/>
              <w:bottom w:val="single" w:sz="4" w:space="0" w:color="auto"/>
              <w:right w:val="single" w:sz="4" w:space="0" w:color="auto"/>
            </w:tcBorders>
            <w:shd w:val="clear" w:color="auto" w:fill="FFFFFF" w:themeFill="background1"/>
            <w:vAlign w:val="center"/>
            <w:hideMark/>
          </w:tcPr>
          <w:p w:rsidR="00276BD7" w:rsidRPr="00225EE7" w:rsidRDefault="00EC4BAF" w:rsidP="007368F6">
            <w:pPr>
              <w:keepNext/>
              <w:keepLines/>
              <w:jc w:val="left"/>
              <w:rPr>
                <w:rFonts w:eastAsia="Times New Roman"/>
                <w:color w:val="000000"/>
                <w:sz w:val="20"/>
                <w:szCs w:val="20"/>
                <w:lang w:val="en-GB" w:eastAsia="en-GB"/>
              </w:rPr>
            </w:pPr>
            <w:r w:rsidRPr="00225EE7">
              <w:rPr>
                <w:rFonts w:eastAsia="Times New Roman"/>
                <w:color w:val="000000"/>
                <w:sz w:val="20"/>
                <w:szCs w:val="20"/>
                <w:lang w:val="en-GB" w:eastAsia="en-GB"/>
              </w:rPr>
              <w:t>Ocea</w:t>
            </w:r>
            <w:r w:rsidR="007368F6">
              <w:rPr>
                <w:rFonts w:eastAsia="Times New Roman"/>
                <w:color w:val="000000"/>
                <w:sz w:val="20"/>
                <w:szCs w:val="20"/>
                <w:lang w:val="en-GB" w:eastAsia="en-GB"/>
              </w:rPr>
              <w:t>n renewable energy</w:t>
            </w:r>
          </w:p>
        </w:tc>
        <w:tc>
          <w:tcPr>
            <w:tcW w:w="1631" w:type="dxa"/>
            <w:tcBorders>
              <w:top w:val="nil"/>
              <w:left w:val="nil"/>
              <w:bottom w:val="single" w:sz="4" w:space="0" w:color="auto"/>
              <w:right w:val="single" w:sz="4" w:space="0" w:color="auto"/>
            </w:tcBorders>
            <w:shd w:val="clear" w:color="auto" w:fill="FFFFFF" w:themeFill="background1"/>
            <w:vAlign w:val="center"/>
          </w:tcPr>
          <w:p w:rsidR="00276BD7" w:rsidRPr="00225EE7" w:rsidRDefault="00276BD7" w:rsidP="007368F6">
            <w:pPr>
              <w:keepNext/>
              <w:keepLines/>
              <w:jc w:val="center"/>
              <w:rPr>
                <w:rFonts w:eastAsia="Times New Roman"/>
                <w:color w:val="000000"/>
                <w:sz w:val="20"/>
                <w:szCs w:val="20"/>
                <w:lang w:val="en-GB" w:eastAsia="en-GB"/>
              </w:rPr>
            </w:pPr>
            <w:r w:rsidRPr="00225EE7">
              <w:rPr>
                <w:rFonts w:eastAsia="Times New Roman"/>
                <w:color w:val="000000"/>
                <w:sz w:val="20"/>
                <w:szCs w:val="20"/>
                <w:lang w:val="en-GB" w:eastAsia="en-GB"/>
              </w:rPr>
              <w:t>6</w:t>
            </w:r>
          </w:p>
        </w:tc>
      </w:tr>
      <w:tr w:rsidR="00276BD7" w:rsidRPr="00225EE7" w:rsidTr="00A7060D">
        <w:trPr>
          <w:trHeight w:val="20"/>
        </w:trPr>
        <w:tc>
          <w:tcPr>
            <w:tcW w:w="874" w:type="dxa"/>
            <w:tcBorders>
              <w:top w:val="nil"/>
              <w:left w:val="single" w:sz="4" w:space="0" w:color="auto"/>
              <w:bottom w:val="single" w:sz="4" w:space="0" w:color="auto"/>
              <w:right w:val="single" w:sz="4" w:space="0" w:color="auto"/>
            </w:tcBorders>
            <w:shd w:val="clear" w:color="auto" w:fill="FFFFFF" w:themeFill="background1"/>
            <w:vAlign w:val="center"/>
            <w:hideMark/>
          </w:tcPr>
          <w:p w:rsidR="00276BD7" w:rsidRPr="00225EE7" w:rsidRDefault="00276BD7" w:rsidP="007368F6">
            <w:pPr>
              <w:keepNext/>
              <w:keepLines/>
              <w:jc w:val="center"/>
              <w:rPr>
                <w:rFonts w:eastAsia="Times New Roman"/>
                <w:color w:val="000000"/>
                <w:sz w:val="20"/>
                <w:szCs w:val="20"/>
                <w:lang w:val="en-GB" w:eastAsia="en-GB"/>
              </w:rPr>
            </w:pPr>
            <w:r w:rsidRPr="00225EE7">
              <w:rPr>
                <w:rFonts w:ascii="Calibri" w:eastAsia="Times New Roman" w:hAnsi="Calibri" w:cs="Times New Roman"/>
                <w:bCs/>
                <w:color w:val="000000"/>
                <w:sz w:val="20"/>
                <w:szCs w:val="20"/>
                <w:lang w:val="en-GB" w:eastAsia="en-GB"/>
              </w:rPr>
              <w:t>2.</w:t>
            </w:r>
          </w:p>
        </w:tc>
        <w:tc>
          <w:tcPr>
            <w:tcW w:w="7314" w:type="dxa"/>
            <w:tcBorders>
              <w:top w:val="nil"/>
              <w:left w:val="nil"/>
              <w:bottom w:val="single" w:sz="4" w:space="0" w:color="auto"/>
              <w:right w:val="single" w:sz="4" w:space="0" w:color="auto"/>
            </w:tcBorders>
            <w:shd w:val="clear" w:color="auto" w:fill="FFFFFF" w:themeFill="background1"/>
            <w:vAlign w:val="center"/>
            <w:hideMark/>
          </w:tcPr>
          <w:p w:rsidR="00276BD7" w:rsidRPr="00225EE7" w:rsidRDefault="00EC4BAF" w:rsidP="007368F6">
            <w:pPr>
              <w:keepNext/>
              <w:keepLines/>
              <w:jc w:val="left"/>
              <w:rPr>
                <w:rFonts w:eastAsia="Times New Roman"/>
                <w:color w:val="000000"/>
                <w:sz w:val="20"/>
                <w:szCs w:val="20"/>
                <w:lang w:val="en-GB" w:eastAsia="en-GB"/>
              </w:rPr>
            </w:pPr>
            <w:r w:rsidRPr="00225EE7">
              <w:rPr>
                <w:sz w:val="20"/>
                <w:szCs w:val="20"/>
                <w:lang w:val="en-GB"/>
              </w:rPr>
              <w:t xml:space="preserve">Offshore wind </w:t>
            </w:r>
          </w:p>
        </w:tc>
        <w:tc>
          <w:tcPr>
            <w:tcW w:w="1631" w:type="dxa"/>
            <w:tcBorders>
              <w:top w:val="nil"/>
              <w:left w:val="nil"/>
              <w:bottom w:val="single" w:sz="4" w:space="0" w:color="auto"/>
              <w:right w:val="single" w:sz="4" w:space="0" w:color="auto"/>
            </w:tcBorders>
            <w:shd w:val="clear" w:color="auto" w:fill="FFFFFF" w:themeFill="background1"/>
            <w:vAlign w:val="center"/>
          </w:tcPr>
          <w:p w:rsidR="00276BD7" w:rsidRPr="00225EE7" w:rsidRDefault="00EC4BAF" w:rsidP="007368F6">
            <w:pPr>
              <w:keepNext/>
              <w:keepLines/>
              <w:jc w:val="center"/>
              <w:rPr>
                <w:rFonts w:eastAsia="Times New Roman"/>
                <w:color w:val="000000"/>
                <w:sz w:val="20"/>
                <w:szCs w:val="20"/>
                <w:lang w:val="en-GB" w:eastAsia="en-GB"/>
              </w:rPr>
            </w:pPr>
            <w:r w:rsidRPr="00225EE7">
              <w:rPr>
                <w:rFonts w:eastAsia="Times New Roman"/>
                <w:color w:val="000000"/>
                <w:sz w:val="20"/>
                <w:szCs w:val="20"/>
                <w:lang w:val="en-GB" w:eastAsia="en-GB"/>
              </w:rPr>
              <w:t>5</w:t>
            </w:r>
          </w:p>
        </w:tc>
      </w:tr>
      <w:tr w:rsidR="00276BD7" w:rsidRPr="00225EE7" w:rsidTr="00A7060D">
        <w:trPr>
          <w:trHeight w:val="20"/>
        </w:trPr>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6BD7" w:rsidRPr="00225EE7" w:rsidRDefault="00276BD7" w:rsidP="007368F6">
            <w:pPr>
              <w:keepNext/>
              <w:keepLines/>
              <w:jc w:val="center"/>
              <w:rPr>
                <w:rFonts w:eastAsia="Times New Roman"/>
                <w:color w:val="000000"/>
                <w:sz w:val="20"/>
                <w:szCs w:val="20"/>
                <w:lang w:val="en-GB" w:eastAsia="en-GB"/>
              </w:rPr>
            </w:pPr>
            <w:r w:rsidRPr="00225EE7">
              <w:rPr>
                <w:rFonts w:ascii="Calibri" w:eastAsia="Times New Roman" w:hAnsi="Calibri" w:cs="Times New Roman"/>
                <w:bCs/>
                <w:color w:val="000000"/>
                <w:sz w:val="20"/>
                <w:szCs w:val="20"/>
                <w:lang w:val="en-GB" w:eastAsia="en-GB"/>
              </w:rPr>
              <w:t>3.</w:t>
            </w:r>
          </w:p>
        </w:tc>
        <w:tc>
          <w:tcPr>
            <w:tcW w:w="7314" w:type="dxa"/>
            <w:tcBorders>
              <w:top w:val="single" w:sz="4" w:space="0" w:color="auto"/>
              <w:left w:val="nil"/>
              <w:bottom w:val="single" w:sz="4" w:space="0" w:color="auto"/>
              <w:right w:val="single" w:sz="4" w:space="0" w:color="auto"/>
            </w:tcBorders>
            <w:shd w:val="clear" w:color="auto" w:fill="FFFFFF" w:themeFill="background1"/>
            <w:vAlign w:val="center"/>
            <w:hideMark/>
          </w:tcPr>
          <w:p w:rsidR="00276BD7" w:rsidRPr="00225EE7" w:rsidRDefault="00276BD7" w:rsidP="007368F6">
            <w:pPr>
              <w:keepNext/>
              <w:keepLines/>
              <w:jc w:val="left"/>
              <w:rPr>
                <w:rFonts w:eastAsia="Times New Roman"/>
                <w:color w:val="000000"/>
                <w:sz w:val="20"/>
                <w:szCs w:val="20"/>
                <w:lang w:val="en-GB" w:eastAsia="en-GB"/>
              </w:rPr>
            </w:pPr>
            <w:r w:rsidRPr="00225EE7">
              <w:rPr>
                <w:sz w:val="20"/>
                <w:szCs w:val="20"/>
              </w:rPr>
              <w:t>Yachting and marinas</w:t>
            </w:r>
          </w:p>
        </w:tc>
        <w:tc>
          <w:tcPr>
            <w:tcW w:w="1631" w:type="dxa"/>
            <w:tcBorders>
              <w:top w:val="single" w:sz="4" w:space="0" w:color="auto"/>
              <w:left w:val="nil"/>
              <w:bottom w:val="single" w:sz="4" w:space="0" w:color="auto"/>
              <w:right w:val="single" w:sz="4" w:space="0" w:color="auto"/>
            </w:tcBorders>
            <w:shd w:val="clear" w:color="auto" w:fill="FFFFFF" w:themeFill="background1"/>
            <w:vAlign w:val="center"/>
          </w:tcPr>
          <w:p w:rsidR="00276BD7" w:rsidRPr="00225EE7" w:rsidRDefault="005F6F4A" w:rsidP="007368F6">
            <w:pPr>
              <w:keepNext/>
              <w:keepLines/>
              <w:jc w:val="center"/>
              <w:rPr>
                <w:rFonts w:eastAsia="Times New Roman"/>
                <w:color w:val="000000"/>
                <w:sz w:val="20"/>
                <w:szCs w:val="20"/>
                <w:lang w:val="en-GB" w:eastAsia="en-GB"/>
              </w:rPr>
            </w:pPr>
            <w:r w:rsidRPr="00225EE7">
              <w:rPr>
                <w:rFonts w:eastAsia="Times New Roman"/>
                <w:color w:val="000000"/>
                <w:sz w:val="20"/>
                <w:szCs w:val="20"/>
                <w:lang w:val="en-GB" w:eastAsia="en-GB"/>
              </w:rPr>
              <w:t>5</w:t>
            </w:r>
          </w:p>
        </w:tc>
      </w:tr>
      <w:tr w:rsidR="005F6F4A" w:rsidRPr="00225EE7" w:rsidTr="00A7060D">
        <w:trPr>
          <w:trHeight w:val="20"/>
        </w:trPr>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F4A" w:rsidRPr="00225EE7" w:rsidRDefault="005F6F4A" w:rsidP="007368F6">
            <w:pPr>
              <w:keepNext/>
              <w:keepLines/>
              <w:jc w:val="center"/>
              <w:rPr>
                <w:rFonts w:eastAsia="Times New Roman"/>
                <w:color w:val="000000"/>
                <w:sz w:val="20"/>
                <w:szCs w:val="20"/>
                <w:lang w:val="en-GB" w:eastAsia="en-GB"/>
              </w:rPr>
            </w:pPr>
            <w:r w:rsidRPr="00225EE7">
              <w:rPr>
                <w:rFonts w:ascii="Calibri" w:eastAsia="Times New Roman" w:hAnsi="Calibri" w:cs="Times New Roman"/>
                <w:bCs/>
                <w:color w:val="000000"/>
                <w:sz w:val="20"/>
                <w:szCs w:val="20"/>
                <w:lang w:val="en-GB" w:eastAsia="en-GB"/>
              </w:rPr>
              <w:t>4.</w:t>
            </w:r>
          </w:p>
        </w:tc>
        <w:tc>
          <w:tcPr>
            <w:tcW w:w="7314" w:type="dxa"/>
            <w:tcBorders>
              <w:top w:val="single" w:sz="4" w:space="0" w:color="auto"/>
              <w:left w:val="nil"/>
              <w:bottom w:val="single" w:sz="4" w:space="0" w:color="auto"/>
              <w:right w:val="single" w:sz="4" w:space="0" w:color="auto"/>
            </w:tcBorders>
            <w:shd w:val="clear" w:color="auto" w:fill="FFFFFF" w:themeFill="background1"/>
            <w:vAlign w:val="center"/>
          </w:tcPr>
          <w:p w:rsidR="005F6F4A" w:rsidRPr="00225EE7" w:rsidRDefault="005F6F4A" w:rsidP="007368F6">
            <w:pPr>
              <w:keepNext/>
              <w:keepLines/>
              <w:jc w:val="left"/>
              <w:rPr>
                <w:rFonts w:eastAsia="Times New Roman"/>
                <w:color w:val="000000"/>
                <w:sz w:val="20"/>
                <w:szCs w:val="20"/>
                <w:lang w:val="en-GB" w:eastAsia="en-GB"/>
              </w:rPr>
            </w:pPr>
            <w:r w:rsidRPr="00225EE7">
              <w:rPr>
                <w:sz w:val="20"/>
                <w:szCs w:val="20"/>
              </w:rPr>
              <w:t xml:space="preserve">Blue Biotechnology </w:t>
            </w:r>
          </w:p>
        </w:tc>
        <w:tc>
          <w:tcPr>
            <w:tcW w:w="1631" w:type="dxa"/>
            <w:tcBorders>
              <w:top w:val="single" w:sz="4" w:space="0" w:color="auto"/>
              <w:left w:val="nil"/>
              <w:bottom w:val="single" w:sz="4" w:space="0" w:color="auto"/>
              <w:right w:val="single" w:sz="4" w:space="0" w:color="auto"/>
            </w:tcBorders>
            <w:shd w:val="clear" w:color="auto" w:fill="FFFFFF" w:themeFill="background1"/>
            <w:vAlign w:val="center"/>
          </w:tcPr>
          <w:p w:rsidR="005F6F4A" w:rsidRPr="00225EE7" w:rsidRDefault="005F6F4A" w:rsidP="007368F6">
            <w:pPr>
              <w:keepNext/>
              <w:keepLines/>
              <w:jc w:val="center"/>
              <w:rPr>
                <w:rFonts w:eastAsia="Times New Roman"/>
                <w:color w:val="000000"/>
                <w:sz w:val="20"/>
                <w:szCs w:val="20"/>
                <w:lang w:val="en-GB" w:eastAsia="en-GB"/>
              </w:rPr>
            </w:pPr>
            <w:r w:rsidRPr="00225EE7">
              <w:rPr>
                <w:rFonts w:eastAsia="Times New Roman"/>
                <w:color w:val="000000"/>
                <w:sz w:val="20"/>
                <w:szCs w:val="20"/>
                <w:lang w:val="en-GB" w:eastAsia="en-GB"/>
              </w:rPr>
              <w:t>5</w:t>
            </w:r>
          </w:p>
        </w:tc>
      </w:tr>
      <w:tr w:rsidR="00276BD7" w:rsidRPr="00225EE7" w:rsidTr="00A7060D">
        <w:trPr>
          <w:trHeight w:val="20"/>
        </w:trPr>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6BD7" w:rsidRPr="00225EE7" w:rsidRDefault="00276BD7" w:rsidP="007368F6">
            <w:pPr>
              <w:keepNext/>
              <w:keepLines/>
              <w:jc w:val="center"/>
              <w:rPr>
                <w:rFonts w:eastAsia="Times New Roman"/>
                <w:color w:val="000000"/>
                <w:sz w:val="20"/>
                <w:szCs w:val="20"/>
                <w:lang w:val="en-GB" w:eastAsia="en-GB"/>
              </w:rPr>
            </w:pPr>
            <w:r w:rsidRPr="00225EE7">
              <w:rPr>
                <w:rFonts w:ascii="Calibri" w:eastAsia="Times New Roman" w:hAnsi="Calibri" w:cs="Times New Roman"/>
                <w:bCs/>
                <w:color w:val="000000"/>
                <w:sz w:val="20"/>
                <w:szCs w:val="20"/>
                <w:lang w:val="en-GB" w:eastAsia="en-GB"/>
              </w:rPr>
              <w:t>5.</w:t>
            </w:r>
          </w:p>
        </w:tc>
        <w:tc>
          <w:tcPr>
            <w:tcW w:w="7314" w:type="dxa"/>
            <w:tcBorders>
              <w:top w:val="single" w:sz="4" w:space="0" w:color="auto"/>
              <w:left w:val="nil"/>
              <w:bottom w:val="single" w:sz="4" w:space="0" w:color="auto"/>
              <w:right w:val="single" w:sz="4" w:space="0" w:color="auto"/>
            </w:tcBorders>
            <w:shd w:val="clear" w:color="auto" w:fill="FFFFFF" w:themeFill="background1"/>
            <w:vAlign w:val="center"/>
          </w:tcPr>
          <w:p w:rsidR="00276BD7" w:rsidRPr="00225EE7" w:rsidRDefault="007368F6" w:rsidP="007368F6">
            <w:pPr>
              <w:keepNext/>
              <w:keepLines/>
              <w:jc w:val="left"/>
              <w:rPr>
                <w:rFonts w:eastAsia="Times New Roman"/>
                <w:color w:val="000000"/>
                <w:sz w:val="20"/>
                <w:szCs w:val="20"/>
                <w:lang w:val="en-GB" w:eastAsia="en-GB"/>
              </w:rPr>
            </w:pPr>
            <w:r>
              <w:rPr>
                <w:sz w:val="20"/>
                <w:szCs w:val="20"/>
                <w:lang w:val="en-GB"/>
              </w:rPr>
              <w:t>Maritime surveillance of goods and people</w:t>
            </w:r>
          </w:p>
        </w:tc>
        <w:tc>
          <w:tcPr>
            <w:tcW w:w="1631" w:type="dxa"/>
            <w:tcBorders>
              <w:top w:val="single" w:sz="4" w:space="0" w:color="auto"/>
              <w:left w:val="nil"/>
              <w:bottom w:val="single" w:sz="4" w:space="0" w:color="auto"/>
              <w:right w:val="single" w:sz="4" w:space="0" w:color="auto"/>
            </w:tcBorders>
            <w:shd w:val="clear" w:color="auto" w:fill="FFFFFF" w:themeFill="background1"/>
            <w:vAlign w:val="center"/>
          </w:tcPr>
          <w:p w:rsidR="00276BD7" w:rsidRPr="00225EE7" w:rsidRDefault="005F6F4A" w:rsidP="007368F6">
            <w:pPr>
              <w:keepNext/>
              <w:keepLines/>
              <w:jc w:val="center"/>
              <w:rPr>
                <w:rFonts w:eastAsia="Times New Roman"/>
                <w:color w:val="000000"/>
                <w:sz w:val="20"/>
                <w:szCs w:val="20"/>
                <w:lang w:val="en-GB" w:eastAsia="en-GB"/>
              </w:rPr>
            </w:pPr>
            <w:r w:rsidRPr="00225EE7">
              <w:rPr>
                <w:rFonts w:eastAsia="Times New Roman"/>
                <w:color w:val="000000"/>
                <w:sz w:val="20"/>
                <w:szCs w:val="20"/>
                <w:lang w:val="en-GB" w:eastAsia="en-GB"/>
              </w:rPr>
              <w:t>4</w:t>
            </w:r>
          </w:p>
        </w:tc>
      </w:tr>
      <w:tr w:rsidR="00276BD7" w:rsidRPr="00225EE7" w:rsidTr="00A7060D">
        <w:trPr>
          <w:trHeight w:val="20"/>
        </w:trPr>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6BD7" w:rsidRPr="00225EE7" w:rsidRDefault="00276BD7" w:rsidP="007368F6">
            <w:pPr>
              <w:keepNext/>
              <w:keepLines/>
              <w:jc w:val="center"/>
              <w:rPr>
                <w:rFonts w:eastAsia="Times New Roman"/>
                <w:color w:val="000000"/>
                <w:sz w:val="20"/>
                <w:szCs w:val="20"/>
                <w:lang w:val="en-GB" w:eastAsia="en-GB"/>
              </w:rPr>
            </w:pPr>
            <w:r w:rsidRPr="00225EE7">
              <w:rPr>
                <w:rFonts w:ascii="Calibri" w:eastAsia="Times New Roman" w:hAnsi="Calibri" w:cs="Times New Roman"/>
                <w:bCs/>
                <w:color w:val="000000"/>
                <w:sz w:val="20"/>
                <w:szCs w:val="20"/>
                <w:lang w:val="en-GB" w:eastAsia="en-GB"/>
              </w:rPr>
              <w:t>6.</w:t>
            </w:r>
          </w:p>
        </w:tc>
        <w:tc>
          <w:tcPr>
            <w:tcW w:w="7314" w:type="dxa"/>
            <w:tcBorders>
              <w:top w:val="single" w:sz="4" w:space="0" w:color="auto"/>
              <w:left w:val="nil"/>
              <w:bottom w:val="single" w:sz="4" w:space="0" w:color="auto"/>
              <w:right w:val="single" w:sz="4" w:space="0" w:color="auto"/>
            </w:tcBorders>
            <w:shd w:val="clear" w:color="auto" w:fill="FFFFFF" w:themeFill="background1"/>
            <w:vAlign w:val="center"/>
          </w:tcPr>
          <w:p w:rsidR="00276BD7" w:rsidRPr="00225EE7" w:rsidRDefault="00276BD7" w:rsidP="007368F6">
            <w:pPr>
              <w:keepNext/>
              <w:keepLines/>
              <w:jc w:val="left"/>
              <w:rPr>
                <w:rFonts w:eastAsia="Times New Roman"/>
                <w:color w:val="000000"/>
                <w:sz w:val="20"/>
                <w:szCs w:val="20"/>
                <w:lang w:val="en-GB" w:eastAsia="en-GB"/>
              </w:rPr>
            </w:pPr>
            <w:r w:rsidRPr="00225EE7">
              <w:rPr>
                <w:sz w:val="20"/>
                <w:szCs w:val="20"/>
                <w:lang w:val="en-GB"/>
              </w:rPr>
              <w:t>Shipbuilding and ship repair</w:t>
            </w:r>
          </w:p>
        </w:tc>
        <w:tc>
          <w:tcPr>
            <w:tcW w:w="1631" w:type="dxa"/>
            <w:tcBorders>
              <w:top w:val="single" w:sz="4" w:space="0" w:color="auto"/>
              <w:left w:val="nil"/>
              <w:bottom w:val="single" w:sz="4" w:space="0" w:color="auto"/>
              <w:right w:val="single" w:sz="4" w:space="0" w:color="auto"/>
            </w:tcBorders>
            <w:shd w:val="clear" w:color="auto" w:fill="FFFFFF" w:themeFill="background1"/>
            <w:vAlign w:val="center"/>
          </w:tcPr>
          <w:p w:rsidR="00276BD7" w:rsidRPr="00225EE7" w:rsidRDefault="005F6F4A" w:rsidP="007368F6">
            <w:pPr>
              <w:keepNext/>
              <w:keepLines/>
              <w:jc w:val="center"/>
              <w:rPr>
                <w:rFonts w:eastAsia="Times New Roman"/>
                <w:color w:val="000000"/>
                <w:sz w:val="20"/>
                <w:szCs w:val="20"/>
                <w:lang w:val="en-GB" w:eastAsia="en-GB"/>
              </w:rPr>
            </w:pPr>
            <w:r w:rsidRPr="00225EE7">
              <w:rPr>
                <w:rFonts w:eastAsia="Times New Roman"/>
                <w:color w:val="000000"/>
                <w:sz w:val="20"/>
                <w:szCs w:val="20"/>
                <w:lang w:val="en-GB" w:eastAsia="en-GB"/>
              </w:rPr>
              <w:t>4</w:t>
            </w:r>
          </w:p>
        </w:tc>
      </w:tr>
      <w:tr w:rsidR="00276BD7" w:rsidRPr="00225EE7" w:rsidTr="00A7060D">
        <w:trPr>
          <w:trHeight w:val="20"/>
        </w:trPr>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6BD7" w:rsidRPr="00225EE7" w:rsidRDefault="00276BD7" w:rsidP="007368F6">
            <w:pPr>
              <w:keepNext/>
              <w:keepLines/>
              <w:jc w:val="center"/>
              <w:rPr>
                <w:rFonts w:eastAsia="Times New Roman"/>
                <w:color w:val="000000"/>
                <w:sz w:val="20"/>
                <w:szCs w:val="20"/>
                <w:lang w:val="en-GB" w:eastAsia="en-GB"/>
              </w:rPr>
            </w:pPr>
            <w:r w:rsidRPr="00225EE7">
              <w:rPr>
                <w:rFonts w:ascii="Calibri" w:eastAsia="Times New Roman" w:hAnsi="Calibri" w:cs="Times New Roman"/>
                <w:bCs/>
                <w:color w:val="000000"/>
                <w:sz w:val="20"/>
                <w:szCs w:val="20"/>
                <w:lang w:val="en-GB" w:eastAsia="en-GB"/>
              </w:rPr>
              <w:t>7.</w:t>
            </w:r>
          </w:p>
        </w:tc>
        <w:tc>
          <w:tcPr>
            <w:tcW w:w="7314" w:type="dxa"/>
            <w:tcBorders>
              <w:top w:val="single" w:sz="4" w:space="0" w:color="auto"/>
              <w:left w:val="nil"/>
              <w:bottom w:val="single" w:sz="4" w:space="0" w:color="auto"/>
              <w:right w:val="single" w:sz="4" w:space="0" w:color="auto"/>
            </w:tcBorders>
            <w:shd w:val="clear" w:color="auto" w:fill="FFFFFF" w:themeFill="background1"/>
            <w:vAlign w:val="center"/>
          </w:tcPr>
          <w:p w:rsidR="00276BD7" w:rsidRPr="00225EE7" w:rsidRDefault="005F6F4A" w:rsidP="007368F6">
            <w:pPr>
              <w:keepNext/>
              <w:keepLines/>
              <w:jc w:val="left"/>
              <w:rPr>
                <w:rFonts w:eastAsia="Times New Roman"/>
                <w:color w:val="000000"/>
                <w:sz w:val="20"/>
                <w:szCs w:val="20"/>
                <w:lang w:val="en-GB" w:eastAsia="en-GB"/>
              </w:rPr>
            </w:pPr>
            <w:r w:rsidRPr="00225EE7">
              <w:rPr>
                <w:sz w:val="20"/>
                <w:szCs w:val="20"/>
              </w:rPr>
              <w:t>Marine minerals mining</w:t>
            </w:r>
          </w:p>
        </w:tc>
        <w:tc>
          <w:tcPr>
            <w:tcW w:w="1631" w:type="dxa"/>
            <w:tcBorders>
              <w:top w:val="single" w:sz="4" w:space="0" w:color="auto"/>
              <w:left w:val="nil"/>
              <w:bottom w:val="single" w:sz="4" w:space="0" w:color="auto"/>
              <w:right w:val="single" w:sz="4" w:space="0" w:color="auto"/>
            </w:tcBorders>
            <w:shd w:val="clear" w:color="auto" w:fill="FFFFFF" w:themeFill="background1"/>
            <w:vAlign w:val="center"/>
          </w:tcPr>
          <w:p w:rsidR="00276BD7" w:rsidRPr="00225EE7" w:rsidRDefault="005F6F4A" w:rsidP="007368F6">
            <w:pPr>
              <w:keepNext/>
              <w:keepLines/>
              <w:jc w:val="center"/>
              <w:rPr>
                <w:rFonts w:eastAsia="Times New Roman"/>
                <w:color w:val="000000"/>
                <w:sz w:val="20"/>
                <w:szCs w:val="20"/>
                <w:lang w:val="en-GB" w:eastAsia="en-GB"/>
              </w:rPr>
            </w:pPr>
            <w:r w:rsidRPr="00225EE7">
              <w:rPr>
                <w:rFonts w:eastAsia="Times New Roman"/>
                <w:color w:val="000000"/>
                <w:sz w:val="20"/>
                <w:szCs w:val="20"/>
                <w:lang w:val="en-GB" w:eastAsia="en-GB"/>
              </w:rPr>
              <w:t>4</w:t>
            </w:r>
          </w:p>
        </w:tc>
      </w:tr>
    </w:tbl>
    <w:p w:rsidR="007127CC" w:rsidRDefault="007127CC" w:rsidP="007127CC">
      <w:pPr>
        <w:spacing w:before="0" w:after="120"/>
        <w:rPr>
          <w:lang w:val="en-GB"/>
        </w:rPr>
      </w:pPr>
    </w:p>
    <w:p w:rsidR="007127CC" w:rsidRDefault="007127CC" w:rsidP="007127CC">
      <w:pPr>
        <w:spacing w:before="0" w:after="120"/>
        <w:rPr>
          <w:lang w:val="en-GB"/>
        </w:rPr>
      </w:pPr>
    </w:p>
    <w:p w:rsidR="007127CC" w:rsidRDefault="007127CC" w:rsidP="007127CC">
      <w:pPr>
        <w:spacing w:before="0" w:after="120"/>
        <w:rPr>
          <w:lang w:val="en-GB"/>
        </w:rPr>
      </w:pPr>
    </w:p>
    <w:p w:rsidR="007127CC" w:rsidRDefault="007127CC" w:rsidP="007127CC">
      <w:pPr>
        <w:spacing w:before="0" w:after="120"/>
        <w:rPr>
          <w:lang w:val="en-GB"/>
        </w:rPr>
        <w:sectPr w:rsidR="007127CC" w:rsidSect="000138C7">
          <w:pgSz w:w="11906" w:h="16838"/>
          <w:pgMar w:top="1387" w:right="1134" w:bottom="1134" w:left="1134" w:header="284" w:footer="93" w:gutter="0"/>
          <w:cols w:space="708"/>
          <w:docGrid w:linePitch="360"/>
        </w:sectPr>
      </w:pPr>
    </w:p>
    <w:p w:rsidR="007127CC" w:rsidRDefault="007127CC" w:rsidP="00FF2F7C">
      <w:pPr>
        <w:pStyle w:val="Heading1"/>
        <w:numPr>
          <w:ilvl w:val="0"/>
          <w:numId w:val="8"/>
        </w:numPr>
        <w:ind w:left="432" w:hanging="432"/>
      </w:pPr>
      <w:bookmarkStart w:id="37" w:name="_Toc361219269"/>
      <w:bookmarkStart w:id="38" w:name="_Toc369887011"/>
      <w:r>
        <w:lastRenderedPageBreak/>
        <w:t>Identification of the most innovative components of Blue Growth</w:t>
      </w:r>
      <w:bookmarkEnd w:id="37"/>
      <w:bookmarkEnd w:id="38"/>
    </w:p>
    <w:p w:rsidR="007368F6" w:rsidRPr="00EC0540" w:rsidRDefault="007368F6" w:rsidP="00FF2F7C">
      <w:pPr>
        <w:keepNext/>
        <w:keepLines/>
        <w:numPr>
          <w:ilvl w:val="1"/>
          <w:numId w:val="8"/>
        </w:numPr>
        <w:spacing w:before="200"/>
        <w:outlineLvl w:val="1"/>
        <w:rPr>
          <w:rFonts w:eastAsiaTheme="majorEastAsia" w:cstheme="majorBidi"/>
          <w:bCs/>
          <w:color w:val="4F81BD" w:themeColor="accent1"/>
          <w:sz w:val="26"/>
          <w:szCs w:val="26"/>
          <w:lang w:val="en-GB"/>
        </w:rPr>
      </w:pPr>
      <w:bookmarkStart w:id="39" w:name="_Toc369887012"/>
      <w:r w:rsidRPr="00EC0540">
        <w:rPr>
          <w:rFonts w:eastAsiaTheme="majorEastAsia" w:cstheme="majorBidi"/>
          <w:bCs/>
          <w:color w:val="4F81BD" w:themeColor="accent1"/>
          <w:sz w:val="26"/>
          <w:szCs w:val="26"/>
          <w:lang w:val="en-GB"/>
        </w:rPr>
        <w:t>Innovation indicators the maritime economic activities / sectors</w:t>
      </w:r>
      <w:bookmarkEnd w:id="39"/>
    </w:p>
    <w:p w:rsidR="007368F6" w:rsidRPr="007368F6" w:rsidRDefault="007368F6" w:rsidP="007368F6">
      <w:pPr>
        <w:spacing w:before="0" w:after="120"/>
        <w:rPr>
          <w:lang w:val="en-GB"/>
        </w:rPr>
      </w:pPr>
      <w:r w:rsidRPr="007368F6">
        <w:rPr>
          <w:lang w:val="en-GB"/>
        </w:rPr>
        <w:t>This chapter assesses the innovation scores of each of the maritime economic activities in the country. The innovation indicators are inspired on the EU Innovation Scoreboard which aims to capture the innovation level of a country. The following indicators are included</w:t>
      </w:r>
      <w:r w:rsidRPr="007368F6">
        <w:rPr>
          <w:vertAlign w:val="superscript"/>
          <w:lang w:val="en-GB"/>
        </w:rPr>
        <w:footnoteReference w:id="120"/>
      </w:r>
      <w:r w:rsidRPr="007368F6">
        <w:rPr>
          <w:lang w:val="en-GB"/>
        </w:rPr>
        <w:t>:</w:t>
      </w:r>
    </w:p>
    <w:tbl>
      <w:tblPr>
        <w:tblStyle w:val="TableGrid"/>
        <w:tblW w:w="0" w:type="auto"/>
        <w:tblLook w:val="04A0" w:firstRow="1" w:lastRow="0" w:firstColumn="1" w:lastColumn="0" w:noHBand="0" w:noVBand="1"/>
      </w:tblPr>
      <w:tblGrid>
        <w:gridCol w:w="3794"/>
        <w:gridCol w:w="5953"/>
      </w:tblGrid>
      <w:tr w:rsidR="007368F6" w:rsidRPr="007368F6" w:rsidTr="00E34B4A">
        <w:tc>
          <w:tcPr>
            <w:tcW w:w="3794" w:type="dxa"/>
            <w:shd w:val="clear" w:color="auto" w:fill="C6D9F1" w:themeFill="text2" w:themeFillTint="33"/>
          </w:tcPr>
          <w:p w:rsidR="007368F6" w:rsidRPr="007368F6" w:rsidRDefault="007368F6" w:rsidP="007368F6">
            <w:pPr>
              <w:spacing w:before="0" w:after="120"/>
              <w:jc w:val="both"/>
              <w:rPr>
                <w:b/>
                <w:sz w:val="20"/>
                <w:szCs w:val="20"/>
                <w:lang w:val="en-GB"/>
              </w:rPr>
            </w:pPr>
            <w:r w:rsidRPr="007368F6">
              <w:rPr>
                <w:b/>
                <w:sz w:val="20"/>
                <w:szCs w:val="20"/>
                <w:lang w:val="en-GB"/>
              </w:rPr>
              <w:t>Indicator</w:t>
            </w:r>
          </w:p>
        </w:tc>
        <w:tc>
          <w:tcPr>
            <w:tcW w:w="5953" w:type="dxa"/>
            <w:shd w:val="clear" w:color="auto" w:fill="C6D9F1" w:themeFill="text2" w:themeFillTint="33"/>
          </w:tcPr>
          <w:p w:rsidR="007368F6" w:rsidRPr="007368F6" w:rsidRDefault="007368F6" w:rsidP="007368F6">
            <w:pPr>
              <w:spacing w:before="0" w:after="120"/>
              <w:jc w:val="both"/>
              <w:rPr>
                <w:b/>
                <w:sz w:val="20"/>
                <w:szCs w:val="20"/>
                <w:lang w:val="en-GB"/>
              </w:rPr>
            </w:pPr>
            <w:r w:rsidRPr="007368F6">
              <w:rPr>
                <w:b/>
                <w:sz w:val="20"/>
                <w:szCs w:val="20"/>
                <w:lang w:val="en-GB"/>
              </w:rPr>
              <w:t>Explanation</w:t>
            </w:r>
          </w:p>
        </w:tc>
      </w:tr>
      <w:tr w:rsidR="007368F6" w:rsidRPr="00EC0540" w:rsidTr="00E34B4A">
        <w:tc>
          <w:tcPr>
            <w:tcW w:w="3794" w:type="dxa"/>
          </w:tcPr>
          <w:p w:rsidR="007368F6" w:rsidRPr="007368F6" w:rsidRDefault="007368F6" w:rsidP="00FF2F7C">
            <w:pPr>
              <w:numPr>
                <w:ilvl w:val="0"/>
                <w:numId w:val="29"/>
              </w:numPr>
              <w:spacing w:before="0" w:after="120"/>
              <w:contextualSpacing/>
              <w:rPr>
                <w:sz w:val="20"/>
                <w:szCs w:val="20"/>
                <w:lang w:val="en-GB"/>
              </w:rPr>
            </w:pPr>
            <w:r w:rsidRPr="007368F6">
              <w:rPr>
                <w:sz w:val="20"/>
                <w:szCs w:val="20"/>
                <w:lang w:val="en-GB"/>
              </w:rPr>
              <w:t>Technological Innovation</w:t>
            </w:r>
          </w:p>
        </w:tc>
        <w:tc>
          <w:tcPr>
            <w:tcW w:w="5953" w:type="dxa"/>
          </w:tcPr>
          <w:p w:rsidR="007368F6" w:rsidRPr="007368F6" w:rsidRDefault="007368F6" w:rsidP="007368F6">
            <w:pPr>
              <w:spacing w:before="0" w:after="120"/>
              <w:jc w:val="both"/>
              <w:rPr>
                <w:sz w:val="20"/>
                <w:szCs w:val="20"/>
                <w:lang w:val="en-GB"/>
              </w:rPr>
            </w:pPr>
            <w:r w:rsidRPr="007368F6">
              <w:rPr>
                <w:sz w:val="20"/>
                <w:szCs w:val="20"/>
                <w:lang w:val="en-GB"/>
              </w:rPr>
              <w:t>number of innovations and publications per MEA to the MEA’s GVA</w:t>
            </w:r>
          </w:p>
        </w:tc>
      </w:tr>
      <w:tr w:rsidR="007368F6" w:rsidRPr="00EC0540" w:rsidTr="00E34B4A">
        <w:tc>
          <w:tcPr>
            <w:tcW w:w="3794" w:type="dxa"/>
          </w:tcPr>
          <w:p w:rsidR="007368F6" w:rsidRPr="007368F6" w:rsidRDefault="007368F6" w:rsidP="00FF2F7C">
            <w:pPr>
              <w:numPr>
                <w:ilvl w:val="0"/>
                <w:numId w:val="29"/>
              </w:numPr>
              <w:spacing w:before="0" w:after="120"/>
              <w:contextualSpacing/>
              <w:rPr>
                <w:sz w:val="20"/>
                <w:szCs w:val="20"/>
                <w:lang w:val="en-GB"/>
              </w:rPr>
            </w:pPr>
            <w:r w:rsidRPr="007368F6">
              <w:rPr>
                <w:sz w:val="20"/>
                <w:szCs w:val="20"/>
                <w:lang w:val="en-GB"/>
              </w:rPr>
              <w:t>Skills absorption</w:t>
            </w:r>
          </w:p>
        </w:tc>
        <w:tc>
          <w:tcPr>
            <w:tcW w:w="5953" w:type="dxa"/>
          </w:tcPr>
          <w:p w:rsidR="007368F6" w:rsidRPr="007368F6" w:rsidRDefault="007368F6" w:rsidP="007368F6">
            <w:pPr>
              <w:spacing w:before="0" w:after="120"/>
              <w:jc w:val="both"/>
              <w:rPr>
                <w:sz w:val="20"/>
                <w:szCs w:val="20"/>
                <w:lang w:val="en-GB"/>
              </w:rPr>
            </w:pPr>
            <w:r w:rsidRPr="007368F6">
              <w:rPr>
                <w:sz w:val="20"/>
                <w:szCs w:val="20"/>
                <w:lang w:val="en-GB"/>
              </w:rPr>
              <w:t>share of higher level education in workforce</w:t>
            </w:r>
          </w:p>
        </w:tc>
      </w:tr>
      <w:tr w:rsidR="007368F6" w:rsidRPr="00EC0540" w:rsidTr="00E34B4A">
        <w:tc>
          <w:tcPr>
            <w:tcW w:w="3794" w:type="dxa"/>
          </w:tcPr>
          <w:p w:rsidR="007368F6" w:rsidRPr="007368F6" w:rsidRDefault="007368F6" w:rsidP="00FF2F7C">
            <w:pPr>
              <w:numPr>
                <w:ilvl w:val="0"/>
                <w:numId w:val="29"/>
              </w:numPr>
              <w:spacing w:before="0" w:after="120"/>
              <w:contextualSpacing/>
              <w:rPr>
                <w:sz w:val="20"/>
                <w:szCs w:val="20"/>
                <w:lang w:val="en-GB"/>
              </w:rPr>
            </w:pPr>
            <w:r w:rsidRPr="007368F6">
              <w:rPr>
                <w:sz w:val="20"/>
                <w:szCs w:val="20"/>
                <w:lang w:val="en-GB"/>
              </w:rPr>
              <w:t xml:space="preserve">Employment dynamism of innovative fast-growing firms </w:t>
            </w:r>
          </w:p>
        </w:tc>
        <w:tc>
          <w:tcPr>
            <w:tcW w:w="5953" w:type="dxa"/>
          </w:tcPr>
          <w:p w:rsidR="007368F6" w:rsidRPr="007368F6" w:rsidRDefault="007368F6" w:rsidP="007368F6">
            <w:pPr>
              <w:spacing w:before="0" w:after="120"/>
              <w:jc w:val="both"/>
              <w:rPr>
                <w:sz w:val="20"/>
                <w:szCs w:val="20"/>
                <w:lang w:val="en-GB"/>
              </w:rPr>
            </w:pPr>
            <w:r w:rsidRPr="007368F6">
              <w:rPr>
                <w:sz w:val="20"/>
                <w:szCs w:val="20"/>
                <w:lang w:val="en-GB"/>
              </w:rPr>
              <w:t>the indicator combines an innovation coefficient (as developed by Eurostat) with the number of employees  in a fast growing firm (annual growth in employees of &gt;10%)</w:t>
            </w:r>
          </w:p>
        </w:tc>
      </w:tr>
      <w:tr w:rsidR="007368F6" w:rsidRPr="00EC0540" w:rsidTr="00E34B4A">
        <w:tc>
          <w:tcPr>
            <w:tcW w:w="3794" w:type="dxa"/>
          </w:tcPr>
          <w:p w:rsidR="007368F6" w:rsidRPr="007368F6" w:rsidRDefault="007368F6" w:rsidP="00FF2F7C">
            <w:pPr>
              <w:numPr>
                <w:ilvl w:val="0"/>
                <w:numId w:val="29"/>
              </w:numPr>
              <w:spacing w:before="0" w:after="120"/>
              <w:contextualSpacing/>
              <w:rPr>
                <w:sz w:val="20"/>
                <w:szCs w:val="20"/>
                <w:lang w:val="en-GB"/>
              </w:rPr>
            </w:pPr>
            <w:r w:rsidRPr="007368F6">
              <w:rPr>
                <w:sz w:val="20"/>
                <w:szCs w:val="20"/>
                <w:lang w:val="en-GB"/>
              </w:rPr>
              <w:t>RTD expenditure &amp; company growth</w:t>
            </w:r>
          </w:p>
        </w:tc>
        <w:tc>
          <w:tcPr>
            <w:tcW w:w="5953" w:type="dxa"/>
          </w:tcPr>
          <w:p w:rsidR="007368F6" w:rsidRPr="007368F6" w:rsidRDefault="007368F6" w:rsidP="007368F6">
            <w:pPr>
              <w:spacing w:before="0" w:after="120"/>
              <w:jc w:val="both"/>
              <w:rPr>
                <w:sz w:val="20"/>
                <w:szCs w:val="20"/>
                <w:lang w:val="en-GB"/>
              </w:rPr>
            </w:pPr>
            <w:r w:rsidRPr="007368F6">
              <w:rPr>
                <w:sz w:val="20"/>
                <w:szCs w:val="20"/>
                <w:lang w:val="en-GB"/>
              </w:rPr>
              <w:t>This indicator first identifies the level of R&amp;D spending in relation to GVA/turnover (static analysis) and then links it to the growth in turnover (dynamic analysis)</w:t>
            </w:r>
          </w:p>
        </w:tc>
      </w:tr>
    </w:tbl>
    <w:p w:rsidR="007368F6" w:rsidRPr="007368F6" w:rsidRDefault="007368F6" w:rsidP="007368F6">
      <w:pPr>
        <w:spacing w:before="0" w:after="120"/>
        <w:rPr>
          <w:lang w:val="en-GB"/>
        </w:rPr>
      </w:pPr>
    </w:p>
    <w:p w:rsidR="007368F6" w:rsidRPr="007368F6" w:rsidRDefault="007368F6" w:rsidP="007368F6">
      <w:pPr>
        <w:spacing w:before="0" w:after="120"/>
        <w:rPr>
          <w:lang w:val="en-GB"/>
        </w:rPr>
      </w:pPr>
      <w:r w:rsidRPr="007368F6">
        <w:rPr>
          <w:lang w:val="en-GB"/>
        </w:rPr>
        <w:t xml:space="preserve">If in national sources other innovation indicators are found these are included in table 9. </w:t>
      </w:r>
    </w:p>
    <w:p w:rsidR="007368F6" w:rsidRPr="007368F6" w:rsidRDefault="007368F6" w:rsidP="007368F6">
      <w:pPr>
        <w:spacing w:before="0" w:after="120"/>
        <w:rPr>
          <w:lang w:val="en-GB"/>
        </w:rPr>
      </w:pPr>
      <w:r w:rsidRPr="007368F6">
        <w:rPr>
          <w:lang w:val="en-GB"/>
        </w:rPr>
        <w:t xml:space="preserve">Wherever available, quantitative scores for each of the maritime economic activity are used. Based on the available information ranking scores which presented that rank/order the level of innovation of the different maritime economic activities (1 = highest rank). </w:t>
      </w:r>
    </w:p>
    <w:tbl>
      <w:tblPr>
        <w:tblStyle w:val="TableGrid"/>
        <w:tblW w:w="0" w:type="auto"/>
        <w:tblLook w:val="04A0" w:firstRow="1" w:lastRow="0" w:firstColumn="1" w:lastColumn="0" w:noHBand="0" w:noVBand="1"/>
      </w:tblPr>
      <w:tblGrid>
        <w:gridCol w:w="9778"/>
      </w:tblGrid>
      <w:tr w:rsidR="00404E08" w:rsidRPr="00EC0540" w:rsidTr="00404E08">
        <w:tc>
          <w:tcPr>
            <w:tcW w:w="9778" w:type="dxa"/>
          </w:tcPr>
          <w:p w:rsidR="00404E08" w:rsidRPr="007C2E30" w:rsidRDefault="00404E08" w:rsidP="007368F6">
            <w:pPr>
              <w:spacing w:before="0" w:after="120"/>
              <w:jc w:val="both"/>
              <w:rPr>
                <w:b/>
                <w:lang w:val="en-GB"/>
              </w:rPr>
            </w:pPr>
            <w:r w:rsidRPr="007C2E30">
              <w:rPr>
                <w:b/>
                <w:lang w:val="en-GB"/>
              </w:rPr>
              <w:t>Comment:</w:t>
            </w:r>
          </w:p>
          <w:p w:rsidR="00404E08" w:rsidRDefault="00404E08" w:rsidP="007368F6">
            <w:pPr>
              <w:spacing w:before="0" w:after="120"/>
              <w:rPr>
                <w:lang w:val="en-GB"/>
              </w:rPr>
            </w:pPr>
            <w:r>
              <w:rPr>
                <w:lang w:val="en-GB"/>
              </w:rPr>
              <w:t>The innovation indicators will be further elaborated in the sea basin report and are then intended to be fed back in the country fiche when relevant.</w:t>
            </w:r>
          </w:p>
        </w:tc>
      </w:tr>
    </w:tbl>
    <w:p w:rsidR="00404E08" w:rsidRDefault="00404E08" w:rsidP="007368F6">
      <w:pPr>
        <w:spacing w:before="0" w:after="120"/>
        <w:rPr>
          <w:lang w:val="en-GB"/>
        </w:rPr>
      </w:pPr>
    </w:p>
    <w:p w:rsidR="00404E08" w:rsidRDefault="00404E08" w:rsidP="007368F6">
      <w:pPr>
        <w:spacing w:before="0" w:after="120"/>
        <w:rPr>
          <w:lang w:val="en-GB"/>
        </w:rPr>
      </w:pPr>
      <w:r w:rsidRPr="007368F6">
        <w:rPr>
          <w:rFonts w:eastAsia="Calibri" w:cs="Times New Roman"/>
          <w:b/>
          <w:bCs/>
          <w:color w:val="4F81BD" w:themeColor="accent1"/>
          <w:sz w:val="24"/>
          <w:szCs w:val="24"/>
          <w:lang w:val="en-GB"/>
        </w:rPr>
        <w:t>Table 8 – Scoring of the maritime economic activities on innovation criteria</w:t>
      </w:r>
    </w:p>
    <w:p w:rsidR="00404E08" w:rsidRDefault="00404E08" w:rsidP="007368F6">
      <w:pPr>
        <w:spacing w:before="0" w:after="120"/>
        <w:rPr>
          <w:lang w:val="en-GB"/>
        </w:rPr>
      </w:pPr>
      <w:r>
        <w:rPr>
          <w:lang w:val="en-GB"/>
        </w:rPr>
        <w:t>See comment above</w:t>
      </w:r>
    </w:p>
    <w:p w:rsidR="007368F6" w:rsidRPr="00EC0540" w:rsidRDefault="007368F6" w:rsidP="00EC0540">
      <w:pPr>
        <w:spacing w:before="0" w:after="120"/>
        <w:rPr>
          <w:lang w:val="en-GB"/>
        </w:rPr>
      </w:pPr>
    </w:p>
    <w:p w:rsidR="007368F6" w:rsidRPr="007368F6" w:rsidRDefault="007368F6" w:rsidP="007368F6">
      <w:pPr>
        <w:rPr>
          <w:lang w:val="en-GB"/>
        </w:rPr>
      </w:pPr>
    </w:p>
    <w:p w:rsidR="007368F6" w:rsidRPr="007368F6" w:rsidRDefault="007368F6" w:rsidP="007368F6">
      <w:pPr>
        <w:spacing w:before="0" w:after="120"/>
        <w:rPr>
          <w:lang w:val="en-GB"/>
        </w:rPr>
      </w:pPr>
    </w:p>
    <w:p w:rsidR="007368F6" w:rsidRPr="00EC0540" w:rsidRDefault="007368F6" w:rsidP="00FF2F7C">
      <w:pPr>
        <w:keepNext/>
        <w:keepLines/>
        <w:numPr>
          <w:ilvl w:val="1"/>
          <w:numId w:val="8"/>
        </w:numPr>
        <w:spacing w:before="200"/>
        <w:outlineLvl w:val="1"/>
        <w:rPr>
          <w:rFonts w:eastAsiaTheme="majorEastAsia" w:cstheme="majorBidi"/>
          <w:bCs/>
          <w:color w:val="4F81BD" w:themeColor="accent1"/>
          <w:sz w:val="26"/>
          <w:szCs w:val="26"/>
          <w:lang w:val="en-GB"/>
        </w:rPr>
      </w:pPr>
      <w:bookmarkStart w:id="40" w:name="_Toc369887013"/>
      <w:r w:rsidRPr="00EC0540">
        <w:rPr>
          <w:rFonts w:eastAsiaTheme="majorEastAsia" w:cstheme="majorBidi"/>
          <w:bCs/>
          <w:color w:val="4F81BD" w:themeColor="accent1"/>
          <w:sz w:val="26"/>
          <w:szCs w:val="26"/>
          <w:lang w:val="en-GB"/>
        </w:rPr>
        <w:t>Assessment of innovation reports compiled at national level</w:t>
      </w:r>
      <w:bookmarkEnd w:id="40"/>
      <w:r w:rsidRPr="00EC0540">
        <w:rPr>
          <w:rFonts w:eastAsiaTheme="majorEastAsia" w:cstheme="majorBidi"/>
          <w:bCs/>
          <w:color w:val="4F81BD" w:themeColor="accent1"/>
          <w:sz w:val="26"/>
          <w:szCs w:val="26"/>
          <w:lang w:val="en-GB"/>
        </w:rPr>
        <w:t xml:space="preserve"> </w:t>
      </w:r>
    </w:p>
    <w:p w:rsidR="007368F6" w:rsidRDefault="007368F6" w:rsidP="007368F6">
      <w:pPr>
        <w:jc w:val="left"/>
        <w:rPr>
          <w:lang w:val="en-GB"/>
        </w:rPr>
      </w:pPr>
      <w:r>
        <w:rPr>
          <w:lang w:val="en-GB"/>
        </w:rPr>
        <w:t>In addition to the above indicator</w:t>
      </w:r>
      <w:r w:rsidR="00D8394B">
        <w:rPr>
          <w:lang w:val="en-GB"/>
        </w:rPr>
        <w:t>s</w:t>
      </w:r>
      <w:r>
        <w:rPr>
          <w:lang w:val="en-GB"/>
        </w:rPr>
        <w:t xml:space="preserve"> two national studies have been identified </w:t>
      </w:r>
      <w:r w:rsidRPr="007368F6">
        <w:rPr>
          <w:lang w:val="en-GB"/>
        </w:rPr>
        <w:t>that contain information on innovation potential per sector/maritime economic activity</w:t>
      </w:r>
      <w:r w:rsidR="009879DF" w:rsidRPr="009879DF">
        <w:rPr>
          <w:lang w:val="en-GB"/>
        </w:rPr>
        <w:t>.</w:t>
      </w:r>
      <w:r w:rsidR="009879DF">
        <w:rPr>
          <w:b/>
          <w:lang w:val="en-GB"/>
        </w:rPr>
        <w:t xml:space="preserve"> </w:t>
      </w:r>
      <w:r w:rsidRPr="007368F6">
        <w:rPr>
          <w:lang w:val="en-GB"/>
        </w:rPr>
        <w:t xml:space="preserve">A qualitative assessment of these reports is provided beneath. </w:t>
      </w:r>
    </w:p>
    <w:p w:rsidR="009879DF" w:rsidRPr="007368F6" w:rsidRDefault="009879DF" w:rsidP="007368F6">
      <w:pPr>
        <w:jc w:val="left"/>
        <w:rPr>
          <w:lang w:val="en-GB"/>
        </w:rPr>
      </w:pPr>
    </w:p>
    <w:p w:rsidR="007368F6" w:rsidRPr="007368F6" w:rsidRDefault="007368F6" w:rsidP="007368F6">
      <w:pPr>
        <w:keepNext/>
        <w:keepLines/>
        <w:spacing w:after="60"/>
        <w:ind w:left="1134" w:hanging="1134"/>
        <w:rPr>
          <w:rFonts w:eastAsia="Calibri" w:cs="Times New Roman"/>
          <w:b/>
          <w:bCs/>
          <w:color w:val="4F81BD" w:themeColor="accent1"/>
          <w:sz w:val="24"/>
          <w:szCs w:val="24"/>
          <w:lang w:val="en-GB"/>
        </w:rPr>
      </w:pPr>
      <w:r w:rsidRPr="007368F6">
        <w:rPr>
          <w:rFonts w:eastAsia="Calibri" w:cs="Times New Roman"/>
          <w:b/>
          <w:bCs/>
          <w:color w:val="4F81BD" w:themeColor="accent1"/>
          <w:sz w:val="24"/>
          <w:szCs w:val="24"/>
          <w:lang w:val="en-GB"/>
        </w:rPr>
        <w:t xml:space="preserve">Table 9 – List of </w:t>
      </w:r>
      <w:r w:rsidR="009879DF">
        <w:rPr>
          <w:rFonts w:eastAsia="Calibri" w:cs="Times New Roman"/>
          <w:b/>
          <w:bCs/>
          <w:color w:val="4F81BD" w:themeColor="accent1"/>
          <w:sz w:val="24"/>
          <w:szCs w:val="24"/>
          <w:lang w:val="en-GB"/>
        </w:rPr>
        <w:t>i</w:t>
      </w:r>
      <w:r w:rsidRPr="007368F6">
        <w:rPr>
          <w:rFonts w:eastAsia="Calibri" w:cs="Times New Roman"/>
          <w:b/>
          <w:bCs/>
          <w:color w:val="4F81BD" w:themeColor="accent1"/>
          <w:sz w:val="24"/>
          <w:szCs w:val="24"/>
          <w:lang w:val="en-GB"/>
        </w:rPr>
        <w:t>dentified national maritime sector analysis</w:t>
      </w:r>
    </w:p>
    <w:tbl>
      <w:tblPr>
        <w:tblStyle w:val="TableGrid1"/>
        <w:tblW w:w="0" w:type="auto"/>
        <w:tblInd w:w="108" w:type="dxa"/>
        <w:tblLayout w:type="fixed"/>
        <w:tblLook w:val="04A0" w:firstRow="1" w:lastRow="0" w:firstColumn="1" w:lastColumn="0" w:noHBand="0" w:noVBand="1"/>
      </w:tblPr>
      <w:tblGrid>
        <w:gridCol w:w="2127"/>
        <w:gridCol w:w="7512"/>
      </w:tblGrid>
      <w:tr w:rsidR="007368F6" w:rsidRPr="00EC0540" w:rsidTr="00E34B4A">
        <w:tc>
          <w:tcPr>
            <w:tcW w:w="2127" w:type="dxa"/>
            <w:shd w:val="clear" w:color="auto" w:fill="DBE5F1" w:themeFill="accent1" w:themeFillTint="33"/>
            <w:vAlign w:val="center"/>
          </w:tcPr>
          <w:p w:rsidR="007368F6" w:rsidRPr="007368F6" w:rsidRDefault="007368F6" w:rsidP="007368F6">
            <w:pPr>
              <w:spacing w:before="0" w:line="240" w:lineRule="auto"/>
              <w:jc w:val="center"/>
              <w:rPr>
                <w:rFonts w:ascii="Calibri" w:eastAsiaTheme="minorHAnsi" w:hAnsi="Calibri" w:cs="Calibri"/>
                <w:b/>
                <w:bCs/>
                <w:sz w:val="22"/>
                <w:szCs w:val="22"/>
                <w:lang w:val="en-GB" w:eastAsia="en-US"/>
              </w:rPr>
            </w:pPr>
            <w:r w:rsidRPr="007368F6">
              <w:rPr>
                <w:rFonts w:ascii="Calibri" w:eastAsiaTheme="minorHAnsi" w:hAnsi="Calibri" w:cs="Calibri"/>
                <w:b/>
                <w:bCs/>
                <w:sz w:val="22"/>
                <w:szCs w:val="22"/>
                <w:lang w:val="en-GB" w:eastAsia="en-US"/>
              </w:rPr>
              <w:t>Source</w:t>
            </w:r>
          </w:p>
        </w:tc>
        <w:tc>
          <w:tcPr>
            <w:tcW w:w="7512" w:type="dxa"/>
            <w:shd w:val="clear" w:color="auto" w:fill="DBE5F1" w:themeFill="accent1" w:themeFillTint="33"/>
            <w:vAlign w:val="center"/>
          </w:tcPr>
          <w:p w:rsidR="007368F6" w:rsidRPr="007368F6" w:rsidRDefault="007368F6" w:rsidP="007368F6">
            <w:pPr>
              <w:spacing w:before="0" w:line="240" w:lineRule="auto"/>
              <w:jc w:val="center"/>
              <w:rPr>
                <w:rFonts w:ascii="Calibri" w:eastAsiaTheme="minorHAnsi" w:hAnsi="Calibri" w:cs="Calibri"/>
                <w:b/>
                <w:bCs/>
                <w:sz w:val="22"/>
                <w:szCs w:val="22"/>
                <w:lang w:val="en-GB" w:eastAsia="en-US"/>
              </w:rPr>
            </w:pPr>
            <w:r w:rsidRPr="007368F6">
              <w:rPr>
                <w:rFonts w:ascii="Calibri" w:eastAsiaTheme="minorHAnsi" w:hAnsi="Calibri" w:cs="Calibri"/>
                <w:b/>
                <w:bCs/>
                <w:sz w:val="22"/>
                <w:szCs w:val="22"/>
                <w:lang w:val="en-GB" w:eastAsia="en-US"/>
              </w:rPr>
              <w:t>Qualitative assessment regarding innovation potential per maritime economic activity/sector</w:t>
            </w:r>
          </w:p>
        </w:tc>
      </w:tr>
      <w:tr w:rsidR="007368F6" w:rsidRPr="007368F6" w:rsidTr="00E34B4A">
        <w:tc>
          <w:tcPr>
            <w:tcW w:w="2127" w:type="dxa"/>
            <w:vAlign w:val="center"/>
          </w:tcPr>
          <w:p w:rsidR="007368F6" w:rsidRPr="007368F6" w:rsidRDefault="007368F6" w:rsidP="007368F6">
            <w:pPr>
              <w:spacing w:before="0" w:line="240" w:lineRule="auto"/>
              <w:jc w:val="center"/>
              <w:rPr>
                <w:rFonts w:ascii="Calibri" w:eastAsiaTheme="minorHAnsi" w:hAnsi="Calibri" w:cs="Calibri"/>
                <w:b/>
                <w:bCs/>
                <w:sz w:val="22"/>
                <w:szCs w:val="22"/>
                <w:lang w:val="en-GB" w:eastAsia="en-US"/>
              </w:rPr>
            </w:pPr>
            <w:r w:rsidRPr="007368F6">
              <w:rPr>
                <w:rFonts w:ascii="Calibri" w:eastAsiaTheme="minorHAnsi" w:hAnsi="Calibri" w:cs="Calibri"/>
                <w:b/>
                <w:bCs/>
                <w:sz w:val="22"/>
                <w:szCs w:val="22"/>
                <w:lang w:val="en-GB" w:eastAsia="en-US"/>
              </w:rPr>
              <w:t>Invest in Blue, 2012</w:t>
            </w:r>
            <w:r w:rsidRPr="007368F6">
              <w:rPr>
                <w:rFonts w:ascii="Calibri" w:eastAsiaTheme="minorHAnsi" w:hAnsi="Calibri" w:cs="Calibri"/>
                <w:b/>
                <w:bCs/>
                <w:sz w:val="22"/>
                <w:szCs w:val="22"/>
                <w:vertAlign w:val="superscript"/>
                <w:lang w:val="en-GB" w:eastAsia="en-US"/>
              </w:rPr>
              <w:footnoteReference w:id="121"/>
            </w:r>
          </w:p>
        </w:tc>
        <w:tc>
          <w:tcPr>
            <w:tcW w:w="7512" w:type="dxa"/>
          </w:tcPr>
          <w:p w:rsidR="007368F6" w:rsidRPr="007368F6" w:rsidRDefault="007368F6" w:rsidP="007368F6">
            <w:pPr>
              <w:spacing w:before="0" w:line="240" w:lineRule="auto"/>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 xml:space="preserve">In France, the ‘Invest in Blue’ initiative has brought together the most innovative SMEs in the maritime sector and the partners for their development. 30 SMEs </w:t>
            </w:r>
            <w:r w:rsidRPr="007368F6">
              <w:rPr>
                <w:rFonts w:ascii="Calibri" w:eastAsiaTheme="minorHAnsi" w:hAnsi="Calibri" w:cs="Calibri"/>
                <w:bCs/>
                <w:sz w:val="22"/>
                <w:szCs w:val="22"/>
                <w:lang w:val="en-GB" w:eastAsia="en-US"/>
              </w:rPr>
              <w:lastRenderedPageBreak/>
              <w:t>have been selected and presented to investors, coming from the following marine-related sectors:</w:t>
            </w:r>
          </w:p>
          <w:p w:rsidR="007368F6" w:rsidRPr="007368F6" w:rsidRDefault="007368F6" w:rsidP="007368F6">
            <w:pPr>
              <w:numPr>
                <w:ilvl w:val="0"/>
                <w:numId w:val="7"/>
              </w:numPr>
              <w:spacing w:before="0" w:line="240" w:lineRule="auto"/>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27% shipbuilding</w:t>
            </w:r>
          </w:p>
          <w:p w:rsidR="007368F6" w:rsidRPr="007368F6" w:rsidRDefault="007368F6" w:rsidP="007368F6">
            <w:pPr>
              <w:numPr>
                <w:ilvl w:val="0"/>
                <w:numId w:val="7"/>
              </w:numPr>
              <w:spacing w:before="0" w:line="240" w:lineRule="auto"/>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7% Marine biotechnologies</w:t>
            </w:r>
          </w:p>
          <w:p w:rsidR="007368F6" w:rsidRPr="007368F6" w:rsidRDefault="007368F6" w:rsidP="007368F6">
            <w:pPr>
              <w:numPr>
                <w:ilvl w:val="0"/>
                <w:numId w:val="7"/>
              </w:numPr>
              <w:spacing w:before="0" w:line="240" w:lineRule="auto"/>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23% Marine renewable energy</w:t>
            </w:r>
          </w:p>
          <w:p w:rsidR="007368F6" w:rsidRPr="007368F6" w:rsidRDefault="007368F6" w:rsidP="007368F6">
            <w:pPr>
              <w:numPr>
                <w:ilvl w:val="0"/>
                <w:numId w:val="7"/>
              </w:numPr>
              <w:spacing w:before="0" w:line="240" w:lineRule="auto"/>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10% Yachting</w:t>
            </w:r>
          </w:p>
          <w:p w:rsidR="007368F6" w:rsidRPr="007368F6" w:rsidRDefault="007368F6" w:rsidP="007368F6">
            <w:pPr>
              <w:numPr>
                <w:ilvl w:val="0"/>
                <w:numId w:val="7"/>
              </w:numPr>
              <w:spacing w:before="0" w:line="240" w:lineRule="auto"/>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20% Environment/coastal protection</w:t>
            </w:r>
          </w:p>
        </w:tc>
      </w:tr>
      <w:tr w:rsidR="007368F6" w:rsidRPr="00EC0540" w:rsidTr="00E34B4A">
        <w:tc>
          <w:tcPr>
            <w:tcW w:w="2127" w:type="dxa"/>
            <w:vAlign w:val="center"/>
          </w:tcPr>
          <w:p w:rsidR="007368F6" w:rsidRPr="007368F6" w:rsidRDefault="007368F6" w:rsidP="007368F6">
            <w:pPr>
              <w:spacing w:before="0" w:line="240" w:lineRule="auto"/>
              <w:jc w:val="center"/>
              <w:rPr>
                <w:rFonts w:ascii="Calibri" w:eastAsiaTheme="minorHAnsi" w:hAnsi="Calibri" w:cs="Calibri"/>
                <w:b/>
                <w:bCs/>
                <w:sz w:val="22"/>
                <w:szCs w:val="22"/>
                <w:lang w:eastAsia="en-US"/>
              </w:rPr>
            </w:pPr>
            <w:r w:rsidRPr="007368F6">
              <w:rPr>
                <w:rFonts w:ascii="Calibri" w:eastAsiaTheme="minorHAnsi" w:hAnsi="Calibri" w:cs="Calibri"/>
                <w:b/>
                <w:bCs/>
                <w:sz w:val="22"/>
                <w:szCs w:val="22"/>
                <w:lang w:eastAsia="en-US"/>
              </w:rPr>
              <w:lastRenderedPageBreak/>
              <w:t>The Maritime Clusters of Bretagne and Province-Alpes-Côte d’Azur (Pôles de Compétitivité Bretagne et PACA)</w:t>
            </w:r>
          </w:p>
        </w:tc>
        <w:tc>
          <w:tcPr>
            <w:tcW w:w="7512" w:type="dxa"/>
          </w:tcPr>
          <w:p w:rsidR="007368F6" w:rsidRPr="007368F6" w:rsidRDefault="007368F6" w:rsidP="007368F6">
            <w:pPr>
              <w:spacing w:before="0" w:line="240" w:lineRule="auto"/>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 xml:space="preserve">The Maritime Clusters of Brittany and Province-Alpes-Côte d’Azur are marine science and technology clusters located in Brittany and Provence, whose remit is to promote economic competitiveness at a global level. They have a combined membership of over 600 enterprises that includes major companies, SMEs, public and private laboratories, universities and selective institutions, all of which are involved in the maritime field. </w:t>
            </w:r>
          </w:p>
          <w:p w:rsidR="007368F6" w:rsidRPr="007368F6" w:rsidRDefault="007368F6" w:rsidP="007368F6">
            <w:pPr>
              <w:spacing w:before="0" w:line="240" w:lineRule="auto"/>
              <w:jc w:val="both"/>
              <w:rPr>
                <w:rFonts w:ascii="Calibri" w:eastAsiaTheme="minorHAnsi" w:hAnsi="Calibri" w:cs="Calibri"/>
                <w:bCs/>
                <w:sz w:val="22"/>
                <w:szCs w:val="22"/>
                <w:lang w:val="en-GB" w:eastAsia="en-US"/>
              </w:rPr>
            </w:pPr>
          </w:p>
          <w:p w:rsidR="007368F6" w:rsidRPr="007368F6" w:rsidRDefault="007368F6" w:rsidP="007368F6">
            <w:pPr>
              <w:spacing w:before="0" w:line="240" w:lineRule="auto"/>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 xml:space="preserve">On the one side, the aim is to exploit innovation in order to meet the growing demands of security and sustainable development, which are believed to have the potential to generate economic activity and jobs. On the other side, the objective is to stimulate and support collaborative projects, involving both companies and research laboratories, in the development of innovative products and services. Five strategic axes have been developed: </w:t>
            </w:r>
          </w:p>
          <w:p w:rsidR="007368F6" w:rsidRPr="007368F6" w:rsidRDefault="007368F6" w:rsidP="007368F6">
            <w:pPr>
              <w:numPr>
                <w:ilvl w:val="0"/>
                <w:numId w:val="7"/>
              </w:numPr>
              <w:spacing w:before="0" w:line="240" w:lineRule="auto"/>
              <w:ind w:left="317"/>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maritime safety and security</w:t>
            </w:r>
          </w:p>
          <w:p w:rsidR="007368F6" w:rsidRPr="007368F6" w:rsidRDefault="007368F6" w:rsidP="007368F6">
            <w:pPr>
              <w:numPr>
                <w:ilvl w:val="0"/>
                <w:numId w:val="7"/>
              </w:numPr>
              <w:spacing w:before="0" w:line="240" w:lineRule="auto"/>
              <w:ind w:left="317"/>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ships and leisure boats</w:t>
            </w:r>
          </w:p>
          <w:p w:rsidR="007368F6" w:rsidRPr="007368F6" w:rsidRDefault="007368F6" w:rsidP="007368F6">
            <w:pPr>
              <w:numPr>
                <w:ilvl w:val="0"/>
                <w:numId w:val="7"/>
              </w:numPr>
              <w:spacing w:before="0" w:line="240" w:lineRule="auto"/>
              <w:ind w:left="317"/>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marine energy resources</w:t>
            </w:r>
          </w:p>
          <w:p w:rsidR="007368F6" w:rsidRPr="007368F6" w:rsidRDefault="007368F6" w:rsidP="007368F6">
            <w:pPr>
              <w:numPr>
                <w:ilvl w:val="0"/>
                <w:numId w:val="7"/>
              </w:numPr>
              <w:spacing w:before="0" w:line="240" w:lineRule="auto"/>
              <w:ind w:left="317"/>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marine resources</w:t>
            </w:r>
          </w:p>
          <w:p w:rsidR="007368F6" w:rsidRPr="007368F6" w:rsidRDefault="007368F6" w:rsidP="007368F6">
            <w:pPr>
              <w:numPr>
                <w:ilvl w:val="0"/>
                <w:numId w:val="7"/>
              </w:numPr>
              <w:spacing w:before="0" w:line="240" w:lineRule="auto"/>
              <w:ind w:left="317"/>
              <w:contextualSpacing/>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 xml:space="preserve">environment and coastal management. </w:t>
            </w:r>
          </w:p>
          <w:p w:rsidR="007368F6" w:rsidRPr="007368F6" w:rsidRDefault="007368F6" w:rsidP="007368F6">
            <w:pPr>
              <w:spacing w:before="0" w:line="240" w:lineRule="auto"/>
              <w:jc w:val="both"/>
              <w:rPr>
                <w:rFonts w:ascii="Calibri" w:eastAsiaTheme="minorHAnsi" w:hAnsi="Calibri" w:cs="Calibri"/>
                <w:bCs/>
                <w:sz w:val="22"/>
                <w:szCs w:val="22"/>
                <w:lang w:val="en-GB" w:eastAsia="en-US"/>
              </w:rPr>
            </w:pPr>
          </w:p>
          <w:p w:rsidR="007368F6" w:rsidRPr="007368F6" w:rsidRDefault="007368F6" w:rsidP="007368F6">
            <w:pPr>
              <w:spacing w:before="0" w:line="240" w:lineRule="auto"/>
              <w:jc w:val="both"/>
              <w:rPr>
                <w:rFonts w:ascii="Calibri" w:eastAsiaTheme="minorHAnsi" w:hAnsi="Calibri" w:cs="Calibri"/>
                <w:bCs/>
                <w:sz w:val="22"/>
                <w:szCs w:val="22"/>
                <w:lang w:val="en-GB" w:eastAsia="en-US"/>
              </w:rPr>
            </w:pPr>
            <w:r w:rsidRPr="007368F6">
              <w:rPr>
                <w:rFonts w:ascii="Calibri" w:eastAsiaTheme="minorHAnsi" w:hAnsi="Calibri" w:cs="Calibri"/>
                <w:bCs/>
                <w:sz w:val="22"/>
                <w:szCs w:val="22"/>
                <w:lang w:val="en-GB" w:eastAsia="en-US"/>
              </w:rPr>
              <w:t>Since 2005, 350 projects have received the ‘Pôle Mer’ recognition, 224 projects have received funding more than 1 billion Euros  worth of research has been undertaken</w:t>
            </w:r>
            <w:r w:rsidRPr="007368F6">
              <w:rPr>
                <w:rFonts w:ascii="Calibri" w:eastAsiaTheme="minorHAnsi" w:hAnsi="Calibri" w:cs="Calibri"/>
                <w:bCs/>
                <w:sz w:val="22"/>
                <w:szCs w:val="22"/>
                <w:vertAlign w:val="superscript"/>
                <w:lang w:val="en-GB" w:eastAsia="en-US"/>
              </w:rPr>
              <w:footnoteReference w:id="122"/>
            </w:r>
            <w:r w:rsidRPr="007368F6">
              <w:rPr>
                <w:rFonts w:ascii="Calibri" w:eastAsiaTheme="minorHAnsi" w:hAnsi="Calibri" w:cs="Calibri"/>
                <w:bCs/>
                <w:sz w:val="22"/>
                <w:szCs w:val="22"/>
                <w:lang w:val="en-GB" w:eastAsia="en-US"/>
              </w:rPr>
              <w:t xml:space="preserve">. </w:t>
            </w:r>
          </w:p>
        </w:tc>
      </w:tr>
    </w:tbl>
    <w:p w:rsidR="007368F6" w:rsidRPr="007368F6" w:rsidRDefault="007368F6" w:rsidP="007368F6">
      <w:pPr>
        <w:jc w:val="left"/>
        <w:rPr>
          <w:lang w:val="en-GB"/>
        </w:rPr>
      </w:pPr>
    </w:p>
    <w:p w:rsidR="00985B03" w:rsidRPr="000C0C93" w:rsidRDefault="00985B03" w:rsidP="00FF2F7C">
      <w:pPr>
        <w:pStyle w:val="Heading1"/>
        <w:numPr>
          <w:ilvl w:val="0"/>
          <w:numId w:val="8"/>
        </w:numPr>
        <w:ind w:left="720"/>
      </w:pPr>
      <w:bookmarkStart w:id="41" w:name="_Toc369886896"/>
      <w:bookmarkStart w:id="42" w:name="_Toc369886897"/>
      <w:bookmarkStart w:id="43" w:name="_Toc369886922"/>
      <w:bookmarkStart w:id="44" w:name="_Toc369886923"/>
      <w:bookmarkStart w:id="45" w:name="_Toc361219272"/>
      <w:bookmarkStart w:id="46" w:name="_Toc362508166"/>
      <w:bookmarkStart w:id="47" w:name="_Toc365035156"/>
      <w:bookmarkStart w:id="48" w:name="_Toc369887014"/>
      <w:bookmarkStart w:id="49" w:name="_Toc353641202"/>
      <w:bookmarkStart w:id="50" w:name="_Toc361219274"/>
      <w:bookmarkEnd w:id="41"/>
      <w:bookmarkEnd w:id="42"/>
      <w:bookmarkEnd w:id="43"/>
      <w:bookmarkEnd w:id="44"/>
      <w:r>
        <w:t>Identification and analysis of maritime</w:t>
      </w:r>
      <w:r w:rsidRPr="000C0C93">
        <w:t xml:space="preserve"> clusters</w:t>
      </w:r>
      <w:bookmarkEnd w:id="45"/>
      <w:bookmarkEnd w:id="46"/>
      <w:bookmarkEnd w:id="47"/>
      <w:bookmarkEnd w:id="48"/>
      <w:r w:rsidRPr="000C0C93">
        <w:t xml:space="preserve"> </w:t>
      </w:r>
      <w:bookmarkEnd w:id="49"/>
    </w:p>
    <w:p w:rsidR="009879DF" w:rsidRPr="009879DF" w:rsidRDefault="00985B03" w:rsidP="009879DF">
      <w:pPr>
        <w:rPr>
          <w:lang w:val="en-GB"/>
        </w:rPr>
      </w:pPr>
      <w:r>
        <w:rPr>
          <w:lang w:val="en-GB"/>
        </w:rPr>
        <w:t>T</w:t>
      </w:r>
      <w:r w:rsidRPr="000C0C93">
        <w:rPr>
          <w:lang w:val="en-GB"/>
        </w:rPr>
        <w:t xml:space="preserve">his section </w:t>
      </w:r>
      <w:r>
        <w:rPr>
          <w:lang w:val="en-GB"/>
        </w:rPr>
        <w:t xml:space="preserve">identifies the key Blue Growth clusters in </w:t>
      </w:r>
      <w:r w:rsidR="00A472D7">
        <w:rPr>
          <w:lang w:val="en-GB"/>
        </w:rPr>
        <w:t>France</w:t>
      </w:r>
      <w:r>
        <w:rPr>
          <w:lang w:val="en-GB"/>
        </w:rPr>
        <w:t xml:space="preserve"> and describes their economic activities. </w:t>
      </w:r>
      <w:r w:rsidR="009879DF" w:rsidRPr="009879DF">
        <w:rPr>
          <w:lang w:val="en-GB"/>
        </w:rPr>
        <w:t>Clusters are one of the most notable concepts within economic geography. However they are not always easily to difficult to grasp or to measure as they are not clearly delineated industries or sectors. Cluster</w:t>
      </w:r>
      <w:r w:rsidR="009879DF">
        <w:rPr>
          <w:lang w:val="en-GB"/>
        </w:rPr>
        <w:t>s</w:t>
      </w:r>
      <w:r w:rsidR="009879DF" w:rsidRPr="009879DF">
        <w:rPr>
          <w:lang w:val="en-GB"/>
        </w:rPr>
        <w:t xml:space="preserve"> can be defined at the level of: </w:t>
      </w:r>
    </w:p>
    <w:p w:rsidR="009879DF" w:rsidRPr="009879DF" w:rsidRDefault="009879DF" w:rsidP="00FF2F7C">
      <w:pPr>
        <w:pStyle w:val="ListParagraph"/>
        <w:numPr>
          <w:ilvl w:val="0"/>
          <w:numId w:val="30"/>
        </w:numPr>
        <w:rPr>
          <w:lang w:val="en-GB"/>
        </w:rPr>
      </w:pPr>
      <w:r w:rsidRPr="009879DF">
        <w:rPr>
          <w:lang w:val="en-GB"/>
        </w:rPr>
        <w:t>An end product industry or industries;</w:t>
      </w:r>
    </w:p>
    <w:p w:rsidR="009879DF" w:rsidRPr="009879DF" w:rsidRDefault="009879DF" w:rsidP="00FF2F7C">
      <w:pPr>
        <w:pStyle w:val="ListParagraph"/>
        <w:numPr>
          <w:ilvl w:val="0"/>
          <w:numId w:val="30"/>
        </w:numPr>
        <w:rPr>
          <w:lang w:val="en-GB"/>
        </w:rPr>
      </w:pPr>
      <w:r w:rsidRPr="009879DF">
        <w:rPr>
          <w:lang w:val="en-GB"/>
        </w:rPr>
        <w:t>Downstream or channel industries;</w:t>
      </w:r>
    </w:p>
    <w:p w:rsidR="009879DF" w:rsidRPr="009879DF" w:rsidRDefault="009879DF" w:rsidP="00FF2F7C">
      <w:pPr>
        <w:pStyle w:val="ListParagraph"/>
        <w:numPr>
          <w:ilvl w:val="0"/>
          <w:numId w:val="30"/>
        </w:numPr>
        <w:rPr>
          <w:lang w:val="en-GB"/>
        </w:rPr>
      </w:pPr>
      <w:r w:rsidRPr="009879DF">
        <w:rPr>
          <w:lang w:val="en-GB"/>
        </w:rPr>
        <w:t>Specialised suppliers;</w:t>
      </w:r>
    </w:p>
    <w:p w:rsidR="009879DF" w:rsidRPr="009879DF" w:rsidRDefault="009879DF" w:rsidP="00FF2F7C">
      <w:pPr>
        <w:pStyle w:val="ListParagraph"/>
        <w:numPr>
          <w:ilvl w:val="0"/>
          <w:numId w:val="30"/>
        </w:numPr>
        <w:rPr>
          <w:lang w:val="en-GB"/>
        </w:rPr>
      </w:pPr>
      <w:r w:rsidRPr="009879DF">
        <w:rPr>
          <w:lang w:val="en-GB"/>
        </w:rPr>
        <w:t>Service providers;</w:t>
      </w:r>
    </w:p>
    <w:p w:rsidR="009879DF" w:rsidRPr="009879DF" w:rsidRDefault="009879DF" w:rsidP="00FF2F7C">
      <w:pPr>
        <w:pStyle w:val="ListParagraph"/>
        <w:numPr>
          <w:ilvl w:val="0"/>
          <w:numId w:val="30"/>
        </w:numPr>
        <w:rPr>
          <w:lang w:val="en-GB"/>
        </w:rPr>
      </w:pPr>
      <w:r w:rsidRPr="009879DF">
        <w:rPr>
          <w:lang w:val="en-GB"/>
        </w:rPr>
        <w:t>Related industries: those with important shared activities, shared skills, shared technologies, common channels, or common customers;</w:t>
      </w:r>
    </w:p>
    <w:p w:rsidR="009879DF" w:rsidRPr="009879DF" w:rsidRDefault="009879DF" w:rsidP="00FF2F7C">
      <w:pPr>
        <w:pStyle w:val="ListParagraph"/>
        <w:numPr>
          <w:ilvl w:val="0"/>
          <w:numId w:val="30"/>
        </w:numPr>
        <w:rPr>
          <w:lang w:val="en-GB"/>
        </w:rPr>
      </w:pPr>
      <w:r w:rsidRPr="009879DF">
        <w:rPr>
          <w:lang w:val="en-GB"/>
        </w:rPr>
        <w:t>Supporting institutions: financial, training and standard setting organisations, research institutions, and trade associations.</w:t>
      </w:r>
    </w:p>
    <w:p w:rsidR="009879DF" w:rsidRDefault="009879DF" w:rsidP="009879DF">
      <w:pPr>
        <w:rPr>
          <w:lang w:val="en-GB"/>
        </w:rPr>
      </w:pPr>
      <w:r>
        <w:rPr>
          <w:lang w:val="en-GB"/>
        </w:rPr>
        <w:t>In this study</w:t>
      </w:r>
      <w:r w:rsidRPr="009879DF">
        <w:rPr>
          <w:lang w:val="en-GB"/>
        </w:rPr>
        <w:t>, clusters are defined as “a geographically proximate group of interconnected companies and associated institutions in a particular field, linked by commonalities and complementarities (external economies)</w:t>
      </w:r>
      <w:r>
        <w:rPr>
          <w:rStyle w:val="FootnoteReference"/>
          <w:lang w:val="en-GB"/>
        </w:rPr>
        <w:footnoteReference w:id="123"/>
      </w:r>
      <w:r w:rsidRPr="009879DF">
        <w:rPr>
          <w:lang w:val="en-GB"/>
        </w:rPr>
        <w:t>.”</w:t>
      </w:r>
    </w:p>
    <w:p w:rsidR="009879DF" w:rsidRPr="00EC0540" w:rsidRDefault="009879DF" w:rsidP="00FF2F7C">
      <w:pPr>
        <w:keepNext/>
        <w:keepLines/>
        <w:numPr>
          <w:ilvl w:val="1"/>
          <w:numId w:val="8"/>
        </w:numPr>
        <w:spacing w:before="200"/>
        <w:outlineLvl w:val="1"/>
        <w:rPr>
          <w:rFonts w:eastAsiaTheme="majorEastAsia" w:cstheme="majorBidi"/>
          <w:bCs/>
          <w:color w:val="4F81BD" w:themeColor="accent1"/>
          <w:sz w:val="26"/>
          <w:szCs w:val="26"/>
          <w:lang w:val="en-GB"/>
        </w:rPr>
      </w:pPr>
      <w:bookmarkStart w:id="51" w:name="_Toc369887015"/>
      <w:r w:rsidRPr="00EC0540">
        <w:rPr>
          <w:rFonts w:eastAsiaTheme="majorEastAsia" w:cstheme="majorBidi"/>
          <w:bCs/>
          <w:color w:val="4F81BD" w:themeColor="accent1"/>
          <w:sz w:val="26"/>
          <w:szCs w:val="26"/>
          <w:lang w:val="en-GB"/>
        </w:rPr>
        <w:lastRenderedPageBreak/>
        <w:t>Maritime clusters in France</w:t>
      </w:r>
      <w:bookmarkEnd w:id="51"/>
    </w:p>
    <w:p w:rsidR="00EB53C0" w:rsidRDefault="009879DF" w:rsidP="00985B03">
      <w:pPr>
        <w:rPr>
          <w:lang w:val="en-GB"/>
        </w:rPr>
      </w:pPr>
      <w:r>
        <w:rPr>
          <w:lang w:val="en-GB"/>
        </w:rPr>
        <w:t>Building on the clusters already identified in the Blue growth study</w:t>
      </w:r>
      <w:r w:rsidR="00EB53C0">
        <w:rPr>
          <w:rStyle w:val="FootnoteReference"/>
          <w:lang w:val="en-GB"/>
        </w:rPr>
        <w:footnoteReference w:id="124"/>
      </w:r>
      <w:r>
        <w:rPr>
          <w:lang w:val="en-GB"/>
        </w:rPr>
        <w:t xml:space="preserve"> and complemented  </w:t>
      </w:r>
      <w:r w:rsidR="00EB53C0">
        <w:rPr>
          <w:lang w:val="en-GB"/>
        </w:rPr>
        <w:t>with cluster identified in the EU Cluster Observatory</w:t>
      </w:r>
      <w:r w:rsidR="00EB53C0">
        <w:rPr>
          <w:rStyle w:val="FootnoteReference"/>
          <w:lang w:val="en-GB"/>
        </w:rPr>
        <w:footnoteReference w:id="125"/>
      </w:r>
      <w:r w:rsidR="00EB53C0">
        <w:rPr>
          <w:lang w:val="en-GB"/>
        </w:rPr>
        <w:t xml:space="preserve">, the following clusters have been </w:t>
      </w:r>
      <w:r w:rsidR="00404E08">
        <w:rPr>
          <w:lang w:val="en-GB"/>
        </w:rPr>
        <w:t>identified</w:t>
      </w:r>
      <w:r w:rsidR="00EB53C0">
        <w:rPr>
          <w:lang w:val="en-GB"/>
        </w:rPr>
        <w:t xml:space="preserve"> for France. Clusters in France are located in multiple sea basins: the Atlantic, North Sea and the Mediterranean.</w:t>
      </w:r>
      <w:r w:rsidR="00404E08">
        <w:rPr>
          <w:lang w:val="en-GB"/>
        </w:rPr>
        <w:t xml:space="preserve"> Of the below clusters two clusters, Brest and Bordeaux, are further elaborated to show their specific characteristics. </w:t>
      </w:r>
    </w:p>
    <w:p w:rsidR="00EB53C0" w:rsidRDefault="00EB53C0" w:rsidP="00985B03">
      <w:pPr>
        <w:rPr>
          <w:lang w:val="en-GB"/>
        </w:rPr>
      </w:pPr>
    </w:p>
    <w:p w:rsidR="00EB53C0" w:rsidRPr="007368F6" w:rsidRDefault="00EB53C0" w:rsidP="00EB53C0">
      <w:pPr>
        <w:keepNext/>
        <w:keepLines/>
        <w:spacing w:after="60"/>
        <w:ind w:left="1134" w:hanging="1134"/>
        <w:rPr>
          <w:rFonts w:eastAsia="Calibri" w:cs="Times New Roman"/>
          <w:b/>
          <w:bCs/>
          <w:color w:val="4F81BD" w:themeColor="accent1"/>
          <w:sz w:val="24"/>
          <w:szCs w:val="24"/>
          <w:lang w:val="en-GB"/>
        </w:rPr>
      </w:pPr>
      <w:r w:rsidRPr="007368F6">
        <w:rPr>
          <w:rFonts w:eastAsia="Calibri" w:cs="Times New Roman"/>
          <w:b/>
          <w:bCs/>
          <w:color w:val="4F81BD" w:themeColor="accent1"/>
          <w:sz w:val="24"/>
          <w:szCs w:val="24"/>
          <w:lang w:val="en-GB"/>
        </w:rPr>
        <w:t>Table 1</w:t>
      </w:r>
      <w:r>
        <w:rPr>
          <w:rFonts w:eastAsia="Calibri" w:cs="Times New Roman"/>
          <w:b/>
          <w:bCs/>
          <w:color w:val="4F81BD" w:themeColor="accent1"/>
          <w:sz w:val="24"/>
          <w:szCs w:val="24"/>
          <w:lang w:val="en-GB"/>
        </w:rPr>
        <w:t>1</w:t>
      </w:r>
      <w:r w:rsidRPr="007368F6">
        <w:rPr>
          <w:rFonts w:eastAsia="Calibri" w:cs="Times New Roman"/>
          <w:b/>
          <w:bCs/>
          <w:color w:val="4F81BD" w:themeColor="accent1"/>
          <w:sz w:val="24"/>
          <w:szCs w:val="24"/>
          <w:lang w:val="en-GB"/>
        </w:rPr>
        <w:t xml:space="preserve"> </w:t>
      </w:r>
      <w:r>
        <w:rPr>
          <w:rFonts w:eastAsia="Calibri" w:cs="Times New Roman"/>
          <w:b/>
          <w:bCs/>
          <w:color w:val="4F81BD" w:themeColor="accent1"/>
          <w:sz w:val="24"/>
          <w:szCs w:val="24"/>
          <w:lang w:val="en-GB"/>
        </w:rPr>
        <w:t>–</w:t>
      </w:r>
      <w:r w:rsidRPr="007368F6">
        <w:rPr>
          <w:rFonts w:eastAsia="Calibri" w:cs="Times New Roman"/>
          <w:b/>
          <w:bCs/>
          <w:color w:val="4F81BD" w:themeColor="accent1"/>
          <w:sz w:val="24"/>
          <w:szCs w:val="24"/>
          <w:lang w:val="en-GB"/>
        </w:rPr>
        <w:t xml:space="preserve"> </w:t>
      </w:r>
      <w:r>
        <w:rPr>
          <w:rFonts w:eastAsia="Calibri" w:cs="Times New Roman"/>
          <w:b/>
          <w:bCs/>
          <w:color w:val="4F81BD" w:themeColor="accent1"/>
          <w:sz w:val="24"/>
          <w:szCs w:val="24"/>
          <w:lang w:val="en-GB"/>
        </w:rPr>
        <w:t>Proposed clusters to be analysed in France</w:t>
      </w:r>
    </w:p>
    <w:tbl>
      <w:tblPr>
        <w:tblStyle w:val="TableGrid"/>
        <w:tblW w:w="8632" w:type="dxa"/>
        <w:tblLayout w:type="fixed"/>
        <w:tblLook w:val="04A0" w:firstRow="1" w:lastRow="0" w:firstColumn="1" w:lastColumn="0" w:noHBand="0" w:noVBand="1"/>
      </w:tblPr>
      <w:tblGrid>
        <w:gridCol w:w="2376"/>
        <w:gridCol w:w="1134"/>
        <w:gridCol w:w="2410"/>
        <w:gridCol w:w="2712"/>
      </w:tblGrid>
      <w:tr w:rsidR="00EE6C34" w:rsidRPr="00EC0540" w:rsidTr="00EE6C34">
        <w:trPr>
          <w:tblHeader/>
        </w:trPr>
        <w:tc>
          <w:tcPr>
            <w:tcW w:w="2376" w:type="dxa"/>
            <w:vMerge w:val="restart"/>
            <w:shd w:val="clear" w:color="auto" w:fill="0070C0"/>
            <w:vAlign w:val="center"/>
          </w:tcPr>
          <w:p w:rsidR="00EE6C34" w:rsidRPr="00EE6C34" w:rsidRDefault="00EE6C34" w:rsidP="00EE6C34">
            <w:pPr>
              <w:spacing w:before="0" w:line="280" w:lineRule="atLeast"/>
              <w:jc w:val="center"/>
              <w:rPr>
                <w:rFonts w:ascii="Arial" w:eastAsia="Calibri" w:hAnsi="Arial" w:cs="Arial"/>
                <w:b/>
                <w:color w:val="FFFFFF"/>
                <w:sz w:val="18"/>
                <w:szCs w:val="18"/>
                <w:lang w:val="en-GB"/>
              </w:rPr>
            </w:pPr>
            <w:r w:rsidRPr="00EE6C34">
              <w:rPr>
                <w:rFonts w:ascii="Arial" w:eastAsia="Calibri" w:hAnsi="Arial" w:cs="Arial"/>
                <w:b/>
                <w:color w:val="FFFFFF"/>
                <w:sz w:val="18"/>
                <w:szCs w:val="18"/>
                <w:lang w:val="en-GB"/>
              </w:rPr>
              <w:t>Longlist of maritime clusters</w:t>
            </w:r>
          </w:p>
          <w:p w:rsidR="00EE6C34" w:rsidRPr="00EE6C34" w:rsidRDefault="00EE6C34" w:rsidP="00EE6C34">
            <w:pPr>
              <w:spacing w:before="0" w:line="280" w:lineRule="atLeast"/>
              <w:jc w:val="center"/>
              <w:rPr>
                <w:rFonts w:ascii="Arial" w:eastAsia="Calibri" w:hAnsi="Arial" w:cs="Arial"/>
                <w:b/>
                <w:color w:val="FFFFFF"/>
                <w:sz w:val="18"/>
                <w:szCs w:val="18"/>
                <w:lang w:val="en-GB"/>
              </w:rPr>
            </w:pPr>
            <w:r w:rsidRPr="00EE6C34">
              <w:rPr>
                <w:rFonts w:ascii="Arial" w:eastAsia="Calibri" w:hAnsi="Arial" w:cs="Arial"/>
                <w:color w:val="FFFFFF"/>
                <w:sz w:val="18"/>
                <w:szCs w:val="18"/>
                <w:lang w:val="en-GB"/>
              </w:rPr>
              <w:t>EU Cluster Observatory</w:t>
            </w:r>
          </w:p>
        </w:tc>
        <w:tc>
          <w:tcPr>
            <w:tcW w:w="6256" w:type="dxa"/>
            <w:gridSpan w:val="3"/>
            <w:tcBorders>
              <w:bottom w:val="single" w:sz="4" w:space="0" w:color="auto"/>
            </w:tcBorders>
            <w:shd w:val="clear" w:color="auto" w:fill="0070C0"/>
            <w:vAlign w:val="center"/>
          </w:tcPr>
          <w:p w:rsidR="00EE6C34" w:rsidRPr="00EE6C34" w:rsidRDefault="00EE6C34" w:rsidP="00EE6C34">
            <w:pPr>
              <w:spacing w:before="0" w:line="280" w:lineRule="atLeast"/>
              <w:jc w:val="center"/>
              <w:rPr>
                <w:rFonts w:ascii="Arial" w:eastAsia="Calibri" w:hAnsi="Arial" w:cs="Arial"/>
                <w:b/>
                <w:color w:val="FFFFFF"/>
                <w:sz w:val="18"/>
                <w:szCs w:val="18"/>
                <w:lang w:val="en-GB"/>
              </w:rPr>
            </w:pPr>
            <w:r w:rsidRPr="00EE6C34">
              <w:rPr>
                <w:rFonts w:ascii="Arial" w:eastAsia="Calibri" w:hAnsi="Arial" w:cs="Arial"/>
                <w:b/>
                <w:color w:val="FFFFFF"/>
                <w:sz w:val="18"/>
                <w:szCs w:val="18"/>
                <w:lang w:val="en-GB"/>
              </w:rPr>
              <w:t>Suggested clusters for in-depth analysis</w:t>
            </w:r>
          </w:p>
        </w:tc>
      </w:tr>
      <w:tr w:rsidR="00EE6C34" w:rsidRPr="00EC0540" w:rsidTr="00EE6C34">
        <w:trPr>
          <w:tblHeader/>
        </w:trPr>
        <w:tc>
          <w:tcPr>
            <w:tcW w:w="2376" w:type="dxa"/>
            <w:vMerge/>
            <w:tcBorders>
              <w:bottom w:val="single" w:sz="4" w:space="0" w:color="auto"/>
            </w:tcBorders>
            <w:shd w:val="clear" w:color="auto" w:fill="0070C0"/>
            <w:vAlign w:val="center"/>
          </w:tcPr>
          <w:p w:rsidR="00EE6C34" w:rsidRPr="00EE6C34" w:rsidRDefault="00EE6C34" w:rsidP="00EE6C34">
            <w:pPr>
              <w:spacing w:before="0" w:line="280" w:lineRule="atLeast"/>
              <w:jc w:val="center"/>
              <w:rPr>
                <w:rFonts w:ascii="Arial" w:eastAsia="Calibri" w:hAnsi="Arial" w:cs="Arial"/>
                <w:color w:val="FFFFFF"/>
                <w:sz w:val="18"/>
                <w:szCs w:val="18"/>
                <w:lang w:val="en-GB"/>
              </w:rPr>
            </w:pPr>
          </w:p>
        </w:tc>
        <w:tc>
          <w:tcPr>
            <w:tcW w:w="1134" w:type="dxa"/>
            <w:tcBorders>
              <w:bottom w:val="single" w:sz="4" w:space="0" w:color="auto"/>
            </w:tcBorders>
            <w:shd w:val="clear" w:color="auto" w:fill="auto"/>
            <w:vAlign w:val="center"/>
          </w:tcPr>
          <w:p w:rsidR="00EE6C34" w:rsidRPr="00EE6C34" w:rsidRDefault="00EE6C34" w:rsidP="00EE6C34">
            <w:pPr>
              <w:spacing w:before="0" w:line="280" w:lineRule="atLeast"/>
              <w:jc w:val="center"/>
              <w:rPr>
                <w:rFonts w:ascii="Arial" w:eastAsia="Calibri" w:hAnsi="Arial" w:cs="Arial"/>
                <w:b/>
                <w:sz w:val="18"/>
                <w:szCs w:val="18"/>
                <w:lang w:val="en-GB"/>
              </w:rPr>
            </w:pPr>
            <w:r w:rsidRPr="00EE6C34">
              <w:rPr>
                <w:rFonts w:ascii="Arial" w:eastAsia="Calibri" w:hAnsi="Arial" w:cs="Arial"/>
                <w:b/>
                <w:sz w:val="18"/>
                <w:szCs w:val="18"/>
                <w:lang w:val="en-GB"/>
              </w:rPr>
              <w:t>Cluster</w:t>
            </w:r>
          </w:p>
        </w:tc>
        <w:tc>
          <w:tcPr>
            <w:tcW w:w="2410" w:type="dxa"/>
            <w:tcBorders>
              <w:bottom w:val="single" w:sz="4" w:space="0" w:color="auto"/>
            </w:tcBorders>
            <w:shd w:val="clear" w:color="auto" w:fill="auto"/>
            <w:vAlign w:val="center"/>
          </w:tcPr>
          <w:p w:rsidR="00EE6C34" w:rsidRPr="00EE6C34" w:rsidRDefault="00EE6C34" w:rsidP="00EE6C34">
            <w:pPr>
              <w:spacing w:before="0" w:line="280" w:lineRule="atLeast"/>
              <w:jc w:val="center"/>
              <w:rPr>
                <w:rFonts w:ascii="Arial" w:eastAsia="Calibri" w:hAnsi="Arial" w:cs="Arial"/>
                <w:b/>
                <w:sz w:val="18"/>
                <w:szCs w:val="18"/>
                <w:lang w:val="en-GB"/>
              </w:rPr>
            </w:pPr>
            <w:r w:rsidRPr="00EE6C34">
              <w:rPr>
                <w:rFonts w:ascii="Arial" w:eastAsia="Calibri" w:hAnsi="Arial" w:cs="Arial"/>
                <w:b/>
                <w:sz w:val="18"/>
                <w:szCs w:val="18"/>
                <w:lang w:val="en-GB"/>
              </w:rPr>
              <w:t>Location of the cluster</w:t>
            </w:r>
          </w:p>
        </w:tc>
        <w:tc>
          <w:tcPr>
            <w:tcW w:w="2712" w:type="dxa"/>
            <w:tcBorders>
              <w:bottom w:val="single" w:sz="4" w:space="0" w:color="auto"/>
            </w:tcBorders>
            <w:shd w:val="clear" w:color="auto" w:fill="auto"/>
            <w:vAlign w:val="center"/>
          </w:tcPr>
          <w:p w:rsidR="00EE6C34" w:rsidRPr="00EE6C34" w:rsidRDefault="00EE6C34" w:rsidP="00EE6C34">
            <w:pPr>
              <w:spacing w:before="0" w:line="280" w:lineRule="atLeast"/>
              <w:jc w:val="center"/>
              <w:rPr>
                <w:rFonts w:ascii="Arial" w:eastAsia="Calibri" w:hAnsi="Arial" w:cs="Arial"/>
                <w:b/>
                <w:sz w:val="18"/>
                <w:szCs w:val="18"/>
                <w:lang w:val="en-GB"/>
              </w:rPr>
            </w:pPr>
            <w:r w:rsidRPr="00EE6C34">
              <w:rPr>
                <w:rFonts w:ascii="Arial" w:eastAsia="Calibri" w:hAnsi="Arial" w:cs="Arial"/>
                <w:b/>
                <w:sz w:val="18"/>
                <w:szCs w:val="18"/>
                <w:lang w:val="en-GB"/>
              </w:rPr>
              <w:t>Maritime economic activities in the cluster</w:t>
            </w:r>
          </w:p>
        </w:tc>
      </w:tr>
      <w:tr w:rsidR="00EE6C34" w:rsidRPr="00EC0540" w:rsidTr="00EE6C34">
        <w:tc>
          <w:tcPr>
            <w:tcW w:w="2376"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r w:rsidRPr="00EE6C34">
              <w:rPr>
                <w:rFonts w:ascii="Arial" w:eastAsia="Calibri" w:hAnsi="Arial" w:cs="Arial"/>
                <w:sz w:val="18"/>
                <w:szCs w:val="18"/>
                <w:lang w:val="en-GB"/>
              </w:rPr>
              <w:t>Bretagne</w:t>
            </w:r>
          </w:p>
        </w:tc>
        <w:tc>
          <w:tcPr>
            <w:tcW w:w="1134"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r w:rsidRPr="00EE6C34">
              <w:rPr>
                <w:rFonts w:ascii="Arial" w:eastAsia="Calibri" w:hAnsi="Arial" w:cs="Arial"/>
                <w:b/>
                <w:sz w:val="18"/>
                <w:szCs w:val="18"/>
                <w:lang w:val="en-GB"/>
              </w:rPr>
              <w:t>Brest</w:t>
            </w:r>
          </w:p>
        </w:tc>
        <w:tc>
          <w:tcPr>
            <w:tcW w:w="2410"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r w:rsidRPr="00EE6C34">
              <w:rPr>
                <w:rFonts w:ascii="Arial" w:eastAsia="Calibri" w:hAnsi="Arial" w:cs="Arial"/>
                <w:sz w:val="18"/>
                <w:szCs w:val="18"/>
                <w:lang w:val="en-GB"/>
              </w:rPr>
              <w:t>Atlantic Arc</w:t>
            </w:r>
          </w:p>
        </w:tc>
        <w:tc>
          <w:tcPr>
            <w:tcW w:w="2712"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r w:rsidRPr="00EE6C34">
              <w:rPr>
                <w:rFonts w:ascii="Arial" w:eastAsia="Calibri" w:hAnsi="Arial" w:cs="Arial"/>
                <w:sz w:val="18"/>
                <w:szCs w:val="18"/>
                <w:lang w:val="en-GB"/>
              </w:rPr>
              <w:t>Defence, blue biotechnology, shipbuilding, fisheries, ocean renewable energy</w:t>
            </w:r>
          </w:p>
        </w:tc>
      </w:tr>
      <w:tr w:rsidR="00EE6C34" w:rsidRPr="00EE6C34" w:rsidTr="00EE6C34">
        <w:tc>
          <w:tcPr>
            <w:tcW w:w="2376"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r>
              <w:rPr>
                <w:rFonts w:ascii="Arial" w:eastAsia="Calibri" w:hAnsi="Arial" w:cs="Arial"/>
                <w:sz w:val="18"/>
                <w:szCs w:val="18"/>
                <w:lang w:val="en-GB"/>
              </w:rPr>
              <w:t>Marseilles</w:t>
            </w:r>
          </w:p>
        </w:tc>
        <w:tc>
          <w:tcPr>
            <w:tcW w:w="1134" w:type="dxa"/>
            <w:shd w:val="clear" w:color="auto" w:fill="EEECE1" w:themeFill="background2"/>
            <w:vAlign w:val="center"/>
          </w:tcPr>
          <w:p w:rsidR="00EE6C34" w:rsidRPr="00EE6C34" w:rsidRDefault="00EE6C34" w:rsidP="00EE6C34">
            <w:pPr>
              <w:spacing w:before="0" w:after="200" w:line="280" w:lineRule="atLeast"/>
              <w:jc w:val="center"/>
              <w:rPr>
                <w:rFonts w:ascii="Arial" w:eastAsia="Calibri" w:hAnsi="Arial" w:cs="Arial"/>
                <w:sz w:val="18"/>
                <w:szCs w:val="18"/>
              </w:rPr>
            </w:pPr>
          </w:p>
        </w:tc>
        <w:tc>
          <w:tcPr>
            <w:tcW w:w="2410"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r w:rsidRPr="00EE6C34">
              <w:rPr>
                <w:rFonts w:ascii="Arial" w:eastAsia="Calibri" w:hAnsi="Arial" w:cs="Arial"/>
                <w:sz w:val="18"/>
                <w:szCs w:val="18"/>
              </w:rPr>
              <w:t>Mediterranean Sea basin</w:t>
            </w:r>
          </w:p>
        </w:tc>
        <w:tc>
          <w:tcPr>
            <w:tcW w:w="2712"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p>
        </w:tc>
      </w:tr>
      <w:tr w:rsidR="00EE6C34" w:rsidRPr="00EE6C34" w:rsidTr="00EE6C34">
        <w:tc>
          <w:tcPr>
            <w:tcW w:w="2376"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rPr>
            </w:pPr>
            <w:r w:rsidRPr="00EE6C34">
              <w:rPr>
                <w:rFonts w:ascii="Arial" w:eastAsia="Calibri" w:hAnsi="Arial" w:cs="Arial"/>
                <w:sz w:val="18"/>
                <w:szCs w:val="18"/>
              </w:rPr>
              <w:t xml:space="preserve">Pays de la Loire </w:t>
            </w:r>
          </w:p>
        </w:tc>
        <w:tc>
          <w:tcPr>
            <w:tcW w:w="1134"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b/>
                <w:sz w:val="18"/>
                <w:szCs w:val="18"/>
                <w:lang w:val="en-GB"/>
              </w:rPr>
            </w:pPr>
          </w:p>
        </w:tc>
        <w:tc>
          <w:tcPr>
            <w:tcW w:w="2410"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r w:rsidRPr="00EE6C34">
              <w:rPr>
                <w:rFonts w:ascii="Arial" w:eastAsia="Calibri" w:hAnsi="Arial" w:cs="Arial"/>
                <w:sz w:val="18"/>
                <w:szCs w:val="18"/>
                <w:lang w:val="en-GB"/>
              </w:rPr>
              <w:t>Atlantic Arc</w:t>
            </w:r>
          </w:p>
        </w:tc>
        <w:tc>
          <w:tcPr>
            <w:tcW w:w="2712"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p>
        </w:tc>
      </w:tr>
      <w:tr w:rsidR="00EE6C34" w:rsidRPr="00EC0540" w:rsidTr="00EE6C34">
        <w:tc>
          <w:tcPr>
            <w:tcW w:w="2376"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rPr>
            </w:pPr>
            <w:r w:rsidRPr="00EE6C34">
              <w:rPr>
                <w:rFonts w:ascii="Arial" w:eastAsia="Calibri" w:hAnsi="Arial" w:cs="Arial"/>
                <w:sz w:val="18"/>
                <w:szCs w:val="18"/>
              </w:rPr>
              <w:t>Aquitaine</w:t>
            </w:r>
            <w:r w:rsidRPr="00EE6C34" w:rsidDel="00E43977">
              <w:rPr>
                <w:rFonts w:ascii="Arial" w:eastAsia="Calibri" w:hAnsi="Arial" w:cs="Arial"/>
                <w:sz w:val="18"/>
                <w:szCs w:val="18"/>
              </w:rPr>
              <w:t xml:space="preserve"> </w:t>
            </w:r>
          </w:p>
        </w:tc>
        <w:tc>
          <w:tcPr>
            <w:tcW w:w="1134" w:type="dxa"/>
            <w:shd w:val="clear" w:color="auto" w:fill="EEECE1" w:themeFill="background2"/>
            <w:vAlign w:val="center"/>
          </w:tcPr>
          <w:p w:rsidR="00EE6C34" w:rsidRPr="00EE6C34" w:rsidRDefault="00EE6C34" w:rsidP="00EE6C34">
            <w:pPr>
              <w:spacing w:before="0" w:after="200" w:line="280" w:lineRule="atLeast"/>
              <w:jc w:val="center"/>
              <w:rPr>
                <w:rFonts w:ascii="Arial" w:eastAsia="Calibri" w:hAnsi="Arial" w:cs="Arial"/>
                <w:b/>
                <w:sz w:val="18"/>
                <w:szCs w:val="18"/>
              </w:rPr>
            </w:pPr>
            <w:r w:rsidRPr="00EE6C34">
              <w:rPr>
                <w:rFonts w:ascii="Arial" w:eastAsia="Calibri" w:hAnsi="Arial" w:cs="Arial"/>
                <w:b/>
                <w:sz w:val="18"/>
                <w:szCs w:val="18"/>
                <w:lang w:val="en-GB"/>
              </w:rPr>
              <w:t>Bordeaux</w:t>
            </w:r>
          </w:p>
        </w:tc>
        <w:tc>
          <w:tcPr>
            <w:tcW w:w="2410" w:type="dxa"/>
            <w:shd w:val="clear" w:color="auto" w:fill="EEECE1" w:themeFill="background2"/>
            <w:vAlign w:val="center"/>
          </w:tcPr>
          <w:p w:rsidR="00EE6C34" w:rsidRPr="00EE6C34" w:rsidRDefault="00EE6C34" w:rsidP="00EE6C34">
            <w:pPr>
              <w:spacing w:before="0" w:after="200" w:line="280" w:lineRule="atLeast"/>
              <w:jc w:val="center"/>
              <w:rPr>
                <w:rFonts w:ascii="Arial" w:eastAsia="Calibri" w:hAnsi="Arial" w:cs="Arial"/>
                <w:sz w:val="18"/>
                <w:szCs w:val="18"/>
              </w:rPr>
            </w:pPr>
            <w:r w:rsidRPr="00EE6C34">
              <w:rPr>
                <w:rFonts w:ascii="Arial" w:eastAsia="Calibri" w:hAnsi="Arial" w:cs="Arial"/>
                <w:sz w:val="18"/>
                <w:szCs w:val="18"/>
                <w:lang w:val="en-GB"/>
              </w:rPr>
              <w:t>Atlantic Arc</w:t>
            </w:r>
          </w:p>
        </w:tc>
        <w:tc>
          <w:tcPr>
            <w:tcW w:w="2712" w:type="dxa"/>
            <w:shd w:val="clear" w:color="auto" w:fill="EEECE1" w:themeFill="background2"/>
            <w:vAlign w:val="center"/>
          </w:tcPr>
          <w:p w:rsidR="00EE6C34" w:rsidRPr="00EE6C34" w:rsidRDefault="00EE6C34" w:rsidP="00EE6C34">
            <w:pPr>
              <w:spacing w:before="0" w:after="200" w:line="280" w:lineRule="atLeast"/>
              <w:jc w:val="center"/>
              <w:rPr>
                <w:rFonts w:ascii="Arial" w:eastAsia="Calibri" w:hAnsi="Arial" w:cs="Arial"/>
                <w:sz w:val="18"/>
                <w:szCs w:val="18"/>
                <w:lang w:val="en-GB"/>
              </w:rPr>
            </w:pPr>
            <w:r w:rsidRPr="00EE6C34">
              <w:rPr>
                <w:rFonts w:ascii="Arial" w:eastAsia="Calibri" w:hAnsi="Arial" w:cs="Arial"/>
                <w:sz w:val="18"/>
                <w:szCs w:val="18"/>
                <w:lang w:val="en-GB"/>
              </w:rPr>
              <w:t>Shipbuilding, fishing, yachting and marinas, environmental monitoring</w:t>
            </w:r>
          </w:p>
        </w:tc>
      </w:tr>
      <w:tr w:rsidR="00EE6C34" w:rsidRPr="00EE6C34" w:rsidTr="00EE6C34">
        <w:tc>
          <w:tcPr>
            <w:tcW w:w="2376"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rPr>
            </w:pPr>
            <w:r w:rsidRPr="00EE6C34">
              <w:rPr>
                <w:rFonts w:ascii="Arial" w:eastAsia="Calibri" w:hAnsi="Arial" w:cs="Arial"/>
                <w:sz w:val="18"/>
                <w:szCs w:val="18"/>
              </w:rPr>
              <w:t>Poitou-Charentes</w:t>
            </w:r>
          </w:p>
        </w:tc>
        <w:tc>
          <w:tcPr>
            <w:tcW w:w="1134"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b/>
                <w:sz w:val="18"/>
                <w:szCs w:val="18"/>
              </w:rPr>
            </w:pPr>
          </w:p>
        </w:tc>
        <w:tc>
          <w:tcPr>
            <w:tcW w:w="2410"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rPr>
            </w:pPr>
            <w:r w:rsidRPr="00EE6C34">
              <w:rPr>
                <w:rFonts w:ascii="Arial" w:eastAsia="Calibri" w:hAnsi="Arial" w:cs="Arial"/>
                <w:sz w:val="18"/>
                <w:szCs w:val="18"/>
                <w:lang w:val="en-GB"/>
              </w:rPr>
              <w:t>Atlantic Arc</w:t>
            </w:r>
          </w:p>
        </w:tc>
        <w:tc>
          <w:tcPr>
            <w:tcW w:w="2712"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rPr>
            </w:pPr>
          </w:p>
        </w:tc>
      </w:tr>
      <w:tr w:rsidR="00EE6C34" w:rsidRPr="00EC0540" w:rsidTr="00EE6C34">
        <w:trPr>
          <w:trHeight w:val="567"/>
        </w:trPr>
        <w:tc>
          <w:tcPr>
            <w:tcW w:w="2376" w:type="dxa"/>
            <w:tcBorders>
              <w:bottom w:val="single" w:sz="4" w:space="0" w:color="auto"/>
            </w:tcBorders>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rPr>
            </w:pPr>
            <w:r w:rsidRPr="00EE6C34">
              <w:rPr>
                <w:rFonts w:ascii="Arial" w:eastAsia="Calibri" w:hAnsi="Arial" w:cs="Arial"/>
                <w:sz w:val="18"/>
                <w:szCs w:val="18"/>
              </w:rPr>
              <w:t>Nord - Pas-de-Calais</w:t>
            </w:r>
          </w:p>
        </w:tc>
        <w:tc>
          <w:tcPr>
            <w:tcW w:w="1134" w:type="dxa"/>
            <w:tcBorders>
              <w:bottom w:val="single" w:sz="4" w:space="0" w:color="auto"/>
            </w:tcBorders>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b/>
                <w:sz w:val="18"/>
                <w:szCs w:val="18"/>
              </w:rPr>
            </w:pPr>
          </w:p>
        </w:tc>
        <w:tc>
          <w:tcPr>
            <w:tcW w:w="2410" w:type="dxa"/>
            <w:tcBorders>
              <w:bottom w:val="single" w:sz="4" w:space="0" w:color="auto"/>
            </w:tcBorders>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lang w:val="en-GB"/>
              </w:rPr>
            </w:pPr>
            <w:r w:rsidRPr="00EE6C34">
              <w:rPr>
                <w:rFonts w:ascii="Arial" w:eastAsia="Calibri" w:hAnsi="Arial" w:cs="Arial"/>
                <w:sz w:val="18"/>
                <w:szCs w:val="18"/>
                <w:lang w:val="en-GB"/>
              </w:rPr>
              <w:t>North Sea and English Channel</w:t>
            </w:r>
          </w:p>
        </w:tc>
        <w:tc>
          <w:tcPr>
            <w:tcW w:w="2712" w:type="dxa"/>
            <w:tcBorders>
              <w:bottom w:val="single" w:sz="4" w:space="0" w:color="auto"/>
            </w:tcBorders>
            <w:shd w:val="clear" w:color="auto" w:fill="EEECE1" w:themeFill="background2"/>
            <w:vAlign w:val="center"/>
          </w:tcPr>
          <w:p w:rsidR="00EE6C34" w:rsidRPr="00EE6C34" w:rsidRDefault="00EE6C34" w:rsidP="00EE6C34">
            <w:pPr>
              <w:spacing w:before="0" w:after="200" w:line="280" w:lineRule="atLeast"/>
              <w:jc w:val="center"/>
              <w:rPr>
                <w:rFonts w:ascii="Arial" w:eastAsia="Calibri" w:hAnsi="Arial" w:cs="Arial"/>
                <w:sz w:val="18"/>
                <w:szCs w:val="18"/>
                <w:lang w:val="en-GB"/>
              </w:rPr>
            </w:pPr>
          </w:p>
        </w:tc>
      </w:tr>
      <w:tr w:rsidR="00EE6C34" w:rsidRPr="00EE6C34" w:rsidTr="00EE6C34">
        <w:trPr>
          <w:trHeight w:val="405"/>
        </w:trPr>
        <w:tc>
          <w:tcPr>
            <w:tcW w:w="2376" w:type="dxa"/>
            <w:shd w:val="clear" w:color="auto" w:fill="EEECE1" w:themeFill="background2"/>
            <w:vAlign w:val="center"/>
          </w:tcPr>
          <w:p w:rsidR="00EE6C34" w:rsidRPr="00EE6C34" w:rsidRDefault="00EE6C34" w:rsidP="00EE6C34">
            <w:pPr>
              <w:spacing w:before="0" w:line="280" w:lineRule="atLeast"/>
              <w:jc w:val="center"/>
              <w:rPr>
                <w:rFonts w:ascii="Arial" w:eastAsia="Calibri" w:hAnsi="Arial" w:cs="Arial"/>
                <w:sz w:val="18"/>
                <w:szCs w:val="18"/>
              </w:rPr>
            </w:pPr>
            <w:r w:rsidRPr="00EE6C34">
              <w:rPr>
                <w:rFonts w:ascii="Arial" w:eastAsia="Calibri" w:hAnsi="Arial" w:cs="Arial"/>
                <w:sz w:val="18"/>
                <w:szCs w:val="18"/>
              </w:rPr>
              <w:t>Basse-Normandie</w:t>
            </w:r>
          </w:p>
        </w:tc>
        <w:tc>
          <w:tcPr>
            <w:tcW w:w="1134" w:type="dxa"/>
            <w:shd w:val="clear" w:color="auto" w:fill="EEECE1" w:themeFill="background2"/>
            <w:vAlign w:val="center"/>
          </w:tcPr>
          <w:p w:rsidR="00EE6C34" w:rsidRPr="00EE6C34" w:rsidDel="00F45C95" w:rsidRDefault="00EE6C34" w:rsidP="00EE6C34">
            <w:pPr>
              <w:spacing w:before="0" w:after="200" w:line="280" w:lineRule="atLeast"/>
              <w:jc w:val="center"/>
              <w:rPr>
                <w:rFonts w:ascii="Arial" w:eastAsia="Calibri" w:hAnsi="Arial" w:cs="Arial"/>
                <w:sz w:val="18"/>
                <w:szCs w:val="18"/>
              </w:rPr>
            </w:pPr>
          </w:p>
        </w:tc>
        <w:tc>
          <w:tcPr>
            <w:tcW w:w="2410" w:type="dxa"/>
            <w:shd w:val="clear" w:color="auto" w:fill="EEECE1" w:themeFill="background2"/>
            <w:vAlign w:val="center"/>
          </w:tcPr>
          <w:p w:rsidR="00EE6C34" w:rsidRPr="00EE6C34" w:rsidRDefault="00EE6C34" w:rsidP="00EE6C34">
            <w:pPr>
              <w:spacing w:before="0" w:after="200" w:line="280" w:lineRule="atLeast"/>
              <w:jc w:val="center"/>
              <w:rPr>
                <w:rFonts w:ascii="Arial" w:eastAsia="Calibri" w:hAnsi="Arial" w:cs="Arial"/>
                <w:sz w:val="18"/>
                <w:szCs w:val="18"/>
              </w:rPr>
            </w:pPr>
            <w:r w:rsidRPr="00EE6C34">
              <w:rPr>
                <w:rFonts w:ascii="Arial" w:eastAsia="Calibri" w:hAnsi="Arial" w:cs="Arial"/>
                <w:sz w:val="18"/>
                <w:szCs w:val="18"/>
                <w:lang w:val="en-GB"/>
              </w:rPr>
              <w:t>Atlantic Arc</w:t>
            </w:r>
          </w:p>
        </w:tc>
        <w:tc>
          <w:tcPr>
            <w:tcW w:w="2712" w:type="dxa"/>
            <w:shd w:val="clear" w:color="auto" w:fill="EEECE1" w:themeFill="background2"/>
            <w:vAlign w:val="center"/>
          </w:tcPr>
          <w:p w:rsidR="00EE6C34" w:rsidRPr="00EE6C34" w:rsidRDefault="00EE6C34" w:rsidP="00EE6C34">
            <w:pPr>
              <w:spacing w:before="0" w:after="200" w:line="280" w:lineRule="atLeast"/>
              <w:jc w:val="center"/>
              <w:rPr>
                <w:rFonts w:ascii="Arial" w:eastAsia="Calibri" w:hAnsi="Arial" w:cs="Arial"/>
                <w:sz w:val="18"/>
                <w:szCs w:val="18"/>
              </w:rPr>
            </w:pPr>
          </w:p>
        </w:tc>
      </w:tr>
    </w:tbl>
    <w:p w:rsidR="00EE6C34" w:rsidRDefault="00EE6C34" w:rsidP="00985B03">
      <w:pPr>
        <w:rPr>
          <w:lang w:val="en-GB"/>
        </w:rPr>
      </w:pPr>
    </w:p>
    <w:p w:rsidR="009879DF" w:rsidRDefault="009879DF" w:rsidP="00985B03">
      <w:pPr>
        <w:rPr>
          <w:lang w:val="en-GB"/>
        </w:rPr>
      </w:pPr>
    </w:p>
    <w:p w:rsidR="009879DF" w:rsidRPr="00EC0540" w:rsidRDefault="009879DF" w:rsidP="00FF2F7C">
      <w:pPr>
        <w:keepNext/>
        <w:keepLines/>
        <w:numPr>
          <w:ilvl w:val="1"/>
          <w:numId w:val="8"/>
        </w:numPr>
        <w:spacing w:before="200"/>
        <w:outlineLvl w:val="1"/>
        <w:rPr>
          <w:rFonts w:eastAsiaTheme="majorEastAsia" w:cstheme="majorBidi"/>
          <w:bCs/>
          <w:color w:val="4F81BD" w:themeColor="accent1"/>
          <w:sz w:val="26"/>
          <w:szCs w:val="26"/>
          <w:lang w:val="en-GB"/>
        </w:rPr>
      </w:pPr>
      <w:bookmarkStart w:id="52" w:name="_Toc369887016"/>
      <w:r w:rsidRPr="00EC0540">
        <w:rPr>
          <w:rFonts w:eastAsiaTheme="majorEastAsia" w:cstheme="majorBidi"/>
          <w:bCs/>
          <w:color w:val="4F81BD" w:themeColor="accent1"/>
          <w:sz w:val="26"/>
          <w:szCs w:val="26"/>
          <w:lang w:val="en-GB"/>
        </w:rPr>
        <w:t>Cluster analysis</w:t>
      </w:r>
      <w:bookmarkEnd w:id="52"/>
    </w:p>
    <w:p w:rsidR="00EB53C0" w:rsidRPr="00EB53C0" w:rsidRDefault="00EB53C0" w:rsidP="00985B03">
      <w:pPr>
        <w:rPr>
          <w:b/>
          <w:i/>
          <w:lang w:val="en-GB"/>
        </w:rPr>
      </w:pPr>
    </w:p>
    <w:p w:rsidR="00985B03" w:rsidRDefault="00EB53C0" w:rsidP="00985B03">
      <w:pPr>
        <w:rPr>
          <w:lang w:val="en-GB"/>
        </w:rPr>
      </w:pPr>
      <w:r>
        <w:rPr>
          <w:lang w:val="en-GB"/>
        </w:rPr>
        <w:t xml:space="preserve">The cluster analysis </w:t>
      </w:r>
      <w:r w:rsidR="00985B03">
        <w:rPr>
          <w:lang w:val="en-GB"/>
        </w:rPr>
        <w:t>builds further on the regional allocation of economic activities as described under section 1.2</w:t>
      </w:r>
      <w:r>
        <w:rPr>
          <w:lang w:val="en-GB"/>
        </w:rPr>
        <w:t>.</w:t>
      </w:r>
      <w:r w:rsidRPr="00EE6C34">
        <w:rPr>
          <w:lang w:val="en-GB"/>
        </w:rPr>
        <w:t xml:space="preserve"> </w:t>
      </w:r>
      <w:r w:rsidRPr="00EB53C0">
        <w:rPr>
          <w:lang w:val="en-GB"/>
        </w:rPr>
        <w:t>It also aims at assessing the maturity of the cluster (mature, growing or early development).</w:t>
      </w:r>
    </w:p>
    <w:p w:rsidR="00EB53C0" w:rsidRDefault="00EB53C0" w:rsidP="00985B03">
      <w:pPr>
        <w:autoSpaceDE w:val="0"/>
        <w:autoSpaceDN w:val="0"/>
        <w:adjustRightInd w:val="0"/>
        <w:rPr>
          <w:lang w:val="en-GB"/>
        </w:rPr>
      </w:pPr>
    </w:p>
    <w:p w:rsidR="00985B03" w:rsidRPr="000C0C93" w:rsidRDefault="00985B03" w:rsidP="00985B03">
      <w:pPr>
        <w:autoSpaceDE w:val="0"/>
        <w:autoSpaceDN w:val="0"/>
        <w:adjustRightInd w:val="0"/>
        <w:rPr>
          <w:lang w:val="en-GB"/>
        </w:rPr>
      </w:pPr>
      <w:r w:rsidRPr="000C0C93">
        <w:rPr>
          <w:lang w:val="en-GB"/>
        </w:rPr>
        <w:t xml:space="preserve">The </w:t>
      </w:r>
      <w:r>
        <w:rPr>
          <w:lang w:val="en-GB"/>
        </w:rPr>
        <w:t>clusters are</w:t>
      </w:r>
      <w:r w:rsidRPr="000C0C93">
        <w:rPr>
          <w:lang w:val="en-GB"/>
        </w:rPr>
        <w:t xml:space="preserve"> analysed according to </w:t>
      </w:r>
      <w:r>
        <w:rPr>
          <w:lang w:val="en-GB"/>
        </w:rPr>
        <w:t xml:space="preserve">the </w:t>
      </w:r>
      <w:r w:rsidRPr="000C0C93">
        <w:rPr>
          <w:lang w:val="en-GB"/>
        </w:rPr>
        <w:t xml:space="preserve">following </w:t>
      </w:r>
      <w:r>
        <w:rPr>
          <w:lang w:val="en-GB"/>
        </w:rPr>
        <w:t>aspects (table 1</w:t>
      </w:r>
      <w:r w:rsidR="00A472D7">
        <w:rPr>
          <w:lang w:val="en-GB"/>
        </w:rPr>
        <w:t>2</w:t>
      </w:r>
      <w:r>
        <w:rPr>
          <w:lang w:val="en-GB"/>
        </w:rPr>
        <w:t>)</w:t>
      </w:r>
      <w:r w:rsidRPr="000C0C93">
        <w:rPr>
          <w:lang w:val="en-GB"/>
        </w:rPr>
        <w:t>:</w:t>
      </w:r>
    </w:p>
    <w:p w:rsidR="00985B03" w:rsidRDefault="009527C8" w:rsidP="00FF2F7C">
      <w:pPr>
        <w:pStyle w:val="ListParagraph"/>
        <w:numPr>
          <w:ilvl w:val="2"/>
          <w:numId w:val="31"/>
        </w:numPr>
        <w:rPr>
          <w:lang w:val="en-GB"/>
        </w:rPr>
      </w:pPr>
      <w:r>
        <w:rPr>
          <w:lang w:val="en-GB"/>
        </w:rPr>
        <w:t>M</w:t>
      </w:r>
      <w:r w:rsidR="00985B03">
        <w:rPr>
          <w:lang w:val="en-GB"/>
        </w:rPr>
        <w:t>aritime economic activities in the cluster and indicate the mixture and composition of the cluster activities in terms of their development stage</w:t>
      </w:r>
      <w:r w:rsidR="00985B03" w:rsidRPr="00C832B5">
        <w:rPr>
          <w:lang w:val="en-GB"/>
        </w:rPr>
        <w:t xml:space="preserve"> (mature, growing, early development);</w:t>
      </w:r>
    </w:p>
    <w:p w:rsidR="00985B03" w:rsidRPr="00C832B5" w:rsidRDefault="00985B03" w:rsidP="00FF2F7C">
      <w:pPr>
        <w:pStyle w:val="ListParagraph"/>
        <w:numPr>
          <w:ilvl w:val="2"/>
          <w:numId w:val="31"/>
        </w:numPr>
        <w:rPr>
          <w:lang w:val="en-GB"/>
        </w:rPr>
      </w:pPr>
      <w:r>
        <w:rPr>
          <w:lang w:val="en-GB"/>
        </w:rPr>
        <w:t>Assessment of</w:t>
      </w:r>
      <w:r w:rsidRPr="00C832B5">
        <w:rPr>
          <w:lang w:val="en-GB"/>
        </w:rPr>
        <w:t xml:space="preserve"> strengths and weaknesses (feeding in to the overall SWOT analysis on the sea-basin level which will be part of the final report).</w:t>
      </w:r>
    </w:p>
    <w:p w:rsidR="00985B03" w:rsidRDefault="00985B03" w:rsidP="00985B03">
      <w:pPr>
        <w:shd w:val="clear" w:color="auto" w:fill="FFFFFF" w:themeFill="background1"/>
        <w:jc w:val="left"/>
        <w:rPr>
          <w:lang w:val="en-GB"/>
        </w:rPr>
      </w:pPr>
      <w:r w:rsidRPr="000C0A0F">
        <w:rPr>
          <w:lang w:val="en-GB"/>
        </w:rPr>
        <w:t xml:space="preserve">In addition to that, </w:t>
      </w:r>
      <w:r>
        <w:rPr>
          <w:lang w:val="en-GB"/>
        </w:rPr>
        <w:t xml:space="preserve">the identified clusters </w:t>
      </w:r>
      <w:r w:rsidR="009527C8">
        <w:rPr>
          <w:lang w:val="en-GB"/>
        </w:rPr>
        <w:t>are intended to</w:t>
      </w:r>
      <w:r>
        <w:rPr>
          <w:lang w:val="en-GB"/>
        </w:rPr>
        <w:t xml:space="preserve"> be analysed according to the following indicators (table 1</w:t>
      </w:r>
      <w:r w:rsidR="00A472D7">
        <w:rPr>
          <w:lang w:val="en-GB"/>
        </w:rPr>
        <w:t>3</w:t>
      </w:r>
      <w:r>
        <w:rPr>
          <w:lang w:val="en-GB"/>
        </w:rPr>
        <w:t>):</w:t>
      </w:r>
    </w:p>
    <w:p w:rsidR="00985B03" w:rsidRPr="00C832B5" w:rsidRDefault="00985B03" w:rsidP="00A472D7">
      <w:pPr>
        <w:pStyle w:val="ListParagraph"/>
        <w:numPr>
          <w:ilvl w:val="2"/>
          <w:numId w:val="6"/>
        </w:numPr>
        <w:rPr>
          <w:lang w:val="en-GB"/>
        </w:rPr>
      </w:pPr>
      <w:r w:rsidRPr="00C832B5">
        <w:rPr>
          <w:lang w:val="en-GB"/>
        </w:rPr>
        <w:t>Number of students in higher education;</w:t>
      </w:r>
    </w:p>
    <w:p w:rsidR="00985B03" w:rsidRPr="00C832B5" w:rsidRDefault="00985B03" w:rsidP="00A472D7">
      <w:pPr>
        <w:pStyle w:val="ListParagraph"/>
        <w:numPr>
          <w:ilvl w:val="2"/>
          <w:numId w:val="6"/>
        </w:numPr>
        <w:rPr>
          <w:lang w:val="en-GB"/>
        </w:rPr>
      </w:pPr>
      <w:r w:rsidRPr="00C832B5">
        <w:rPr>
          <w:lang w:val="en-GB"/>
        </w:rPr>
        <w:t>Number of students in higher education following courses specially designed for employment in the blue economy</w:t>
      </w:r>
    </w:p>
    <w:p w:rsidR="00985B03" w:rsidRPr="00C832B5" w:rsidRDefault="00985B03" w:rsidP="00A472D7">
      <w:pPr>
        <w:pStyle w:val="ListParagraph"/>
        <w:numPr>
          <w:ilvl w:val="2"/>
          <w:numId w:val="6"/>
        </w:numPr>
        <w:rPr>
          <w:lang w:val="en-GB"/>
        </w:rPr>
      </w:pPr>
      <w:r w:rsidRPr="00C832B5">
        <w:rPr>
          <w:lang w:val="en-GB"/>
        </w:rPr>
        <w:lastRenderedPageBreak/>
        <w:t>Unemployment rate in the cluster</w:t>
      </w:r>
    </w:p>
    <w:p w:rsidR="00985B03" w:rsidRDefault="00985B03" w:rsidP="00A472D7">
      <w:pPr>
        <w:pStyle w:val="ListParagraph"/>
        <w:numPr>
          <w:ilvl w:val="2"/>
          <w:numId w:val="6"/>
        </w:numPr>
        <w:rPr>
          <w:lang w:val="en-GB"/>
        </w:rPr>
      </w:pPr>
      <w:r>
        <w:rPr>
          <w:lang w:val="en-GB"/>
        </w:rPr>
        <w:t>O</w:t>
      </w:r>
      <w:r w:rsidRPr="00C832B5">
        <w:rPr>
          <w:lang w:val="en-GB"/>
        </w:rPr>
        <w:t>n-going research</w:t>
      </w:r>
      <w:r>
        <w:rPr>
          <w:lang w:val="en-GB"/>
        </w:rPr>
        <w:t xml:space="preserve"> in a given cluster, i.e. number of on-going research programmes and projects in the cluster, regionalised patent &amp; publications data (where available at cluster level), R&amp;D test centres located in the cluster etc.</w:t>
      </w:r>
    </w:p>
    <w:p w:rsidR="00985B03" w:rsidRDefault="00985B03" w:rsidP="00985B03">
      <w:pPr>
        <w:pStyle w:val="ListParagraph"/>
        <w:rPr>
          <w:lang w:val="en-GB"/>
        </w:rPr>
      </w:pPr>
    </w:p>
    <w:p w:rsidR="00985B03" w:rsidRDefault="00985B03" w:rsidP="00985B03">
      <w:pPr>
        <w:spacing w:before="0" w:after="120"/>
        <w:rPr>
          <w:lang w:val="en-GB"/>
        </w:rPr>
        <w:sectPr w:rsidR="00985B03" w:rsidSect="000138C7">
          <w:pgSz w:w="11906" w:h="16838"/>
          <w:pgMar w:top="1387" w:right="1134" w:bottom="1134" w:left="1134" w:header="284" w:footer="93" w:gutter="0"/>
          <w:cols w:space="708"/>
          <w:docGrid w:linePitch="360"/>
        </w:sectPr>
      </w:pPr>
    </w:p>
    <w:p w:rsidR="00985B03" w:rsidRPr="00CD2C69" w:rsidRDefault="00985B03" w:rsidP="00985B03">
      <w:pPr>
        <w:rPr>
          <w:lang w:val="en-GB"/>
        </w:rPr>
      </w:pPr>
    </w:p>
    <w:p w:rsidR="00985B03" w:rsidRDefault="00985B03" w:rsidP="00985B03">
      <w:pPr>
        <w:pStyle w:val="Caption"/>
      </w:pPr>
      <w:r w:rsidRPr="000C0C93">
        <w:t xml:space="preserve">Table </w:t>
      </w:r>
      <w:r>
        <w:t>1</w:t>
      </w:r>
      <w:r w:rsidR="00A472D7">
        <w:t>2</w:t>
      </w:r>
      <w:r w:rsidRPr="000C0C93">
        <w:t xml:space="preserve"> - List and</w:t>
      </w:r>
      <w:r>
        <w:t xml:space="preserve"> strengths and weaknesses of </w:t>
      </w:r>
      <w:r w:rsidRPr="000C0C93">
        <w:t>clusters</w:t>
      </w:r>
    </w:p>
    <w:tbl>
      <w:tblPr>
        <w:tblStyle w:val="TableGrid"/>
        <w:tblW w:w="0" w:type="auto"/>
        <w:tblLayout w:type="fixed"/>
        <w:tblLook w:val="04A0" w:firstRow="1" w:lastRow="0" w:firstColumn="1" w:lastColumn="0" w:noHBand="0" w:noVBand="1"/>
      </w:tblPr>
      <w:tblGrid>
        <w:gridCol w:w="1970"/>
        <w:gridCol w:w="1115"/>
        <w:gridCol w:w="3544"/>
        <w:gridCol w:w="1276"/>
        <w:gridCol w:w="2835"/>
        <w:gridCol w:w="2976"/>
      </w:tblGrid>
      <w:tr w:rsidR="00053DAF" w:rsidRPr="00F87564" w:rsidTr="001A4D2F">
        <w:tc>
          <w:tcPr>
            <w:tcW w:w="1970" w:type="dxa"/>
            <w:shd w:val="clear" w:color="auto" w:fill="DBE5F1" w:themeFill="accent1" w:themeFillTint="33"/>
            <w:vAlign w:val="center"/>
          </w:tcPr>
          <w:p w:rsidR="00985B03" w:rsidRPr="00F87564" w:rsidRDefault="00985B03" w:rsidP="004E2A4F">
            <w:pPr>
              <w:jc w:val="center"/>
              <w:rPr>
                <w:b/>
                <w:lang w:val="en-GB"/>
              </w:rPr>
            </w:pPr>
          </w:p>
        </w:tc>
        <w:tc>
          <w:tcPr>
            <w:tcW w:w="1115" w:type="dxa"/>
            <w:shd w:val="clear" w:color="auto" w:fill="DBE5F1" w:themeFill="accent1" w:themeFillTint="33"/>
            <w:vAlign w:val="center"/>
          </w:tcPr>
          <w:p w:rsidR="00985B03" w:rsidRPr="00F87564" w:rsidRDefault="00985B03" w:rsidP="004E2A4F">
            <w:pPr>
              <w:jc w:val="center"/>
              <w:rPr>
                <w:b/>
                <w:lang w:val="en-GB"/>
              </w:rPr>
            </w:pPr>
            <w:r w:rsidRPr="00F87564">
              <w:rPr>
                <w:b/>
                <w:lang w:val="en-GB"/>
              </w:rPr>
              <w:t>EU Member State</w:t>
            </w:r>
          </w:p>
        </w:tc>
        <w:tc>
          <w:tcPr>
            <w:tcW w:w="3544" w:type="dxa"/>
            <w:shd w:val="clear" w:color="auto" w:fill="DBE5F1" w:themeFill="accent1" w:themeFillTint="33"/>
            <w:vAlign w:val="center"/>
          </w:tcPr>
          <w:p w:rsidR="00985B03" w:rsidRPr="00F87564" w:rsidRDefault="00985B03" w:rsidP="004E2A4F">
            <w:pPr>
              <w:jc w:val="center"/>
              <w:rPr>
                <w:b/>
                <w:lang w:val="en-GB"/>
              </w:rPr>
            </w:pPr>
            <w:r w:rsidRPr="00F87564">
              <w:rPr>
                <w:b/>
                <w:lang w:val="en-GB"/>
              </w:rPr>
              <w:t>Maritime economic activities concerned</w:t>
            </w:r>
          </w:p>
        </w:tc>
        <w:tc>
          <w:tcPr>
            <w:tcW w:w="1276" w:type="dxa"/>
            <w:shd w:val="clear" w:color="auto" w:fill="DBE5F1" w:themeFill="accent1" w:themeFillTint="33"/>
            <w:vAlign w:val="center"/>
          </w:tcPr>
          <w:p w:rsidR="00985B03" w:rsidRPr="00F87564" w:rsidRDefault="00985B03" w:rsidP="004E2A4F">
            <w:pPr>
              <w:jc w:val="center"/>
              <w:rPr>
                <w:b/>
                <w:lang w:val="en-GB"/>
              </w:rPr>
            </w:pPr>
            <w:r w:rsidRPr="00F87564">
              <w:rPr>
                <w:b/>
                <w:lang w:val="en-GB"/>
              </w:rPr>
              <w:t>Status</w:t>
            </w:r>
          </w:p>
          <w:p w:rsidR="00985B03" w:rsidRPr="00F87564" w:rsidRDefault="00985B03" w:rsidP="004E2A4F">
            <w:pPr>
              <w:jc w:val="center"/>
              <w:rPr>
                <w:b/>
                <w:lang w:val="en-GB"/>
              </w:rPr>
            </w:pPr>
            <w:r w:rsidRPr="00F87564">
              <w:rPr>
                <w:b/>
                <w:lang w:val="en-GB"/>
              </w:rPr>
              <w:t>(mature, growing, early development)</w:t>
            </w:r>
          </w:p>
        </w:tc>
        <w:tc>
          <w:tcPr>
            <w:tcW w:w="2835" w:type="dxa"/>
            <w:shd w:val="clear" w:color="auto" w:fill="DBE5F1" w:themeFill="accent1" w:themeFillTint="33"/>
            <w:vAlign w:val="center"/>
          </w:tcPr>
          <w:p w:rsidR="00985B03" w:rsidRPr="00F87564" w:rsidRDefault="00985B03" w:rsidP="004E2A4F">
            <w:pPr>
              <w:jc w:val="center"/>
              <w:rPr>
                <w:b/>
                <w:lang w:val="en-GB"/>
              </w:rPr>
            </w:pPr>
            <w:r w:rsidRPr="00F87564">
              <w:rPr>
                <w:b/>
                <w:lang w:val="en-GB"/>
              </w:rPr>
              <w:t>Strengths</w:t>
            </w:r>
          </w:p>
        </w:tc>
        <w:tc>
          <w:tcPr>
            <w:tcW w:w="2976" w:type="dxa"/>
            <w:shd w:val="clear" w:color="auto" w:fill="DBE5F1" w:themeFill="accent1" w:themeFillTint="33"/>
            <w:vAlign w:val="center"/>
          </w:tcPr>
          <w:p w:rsidR="00985B03" w:rsidRPr="00F87564" w:rsidRDefault="00985B03" w:rsidP="004E2A4F">
            <w:pPr>
              <w:jc w:val="center"/>
              <w:rPr>
                <w:b/>
                <w:lang w:val="en-GB"/>
              </w:rPr>
            </w:pPr>
            <w:r w:rsidRPr="00F87564">
              <w:rPr>
                <w:b/>
                <w:lang w:val="en-GB"/>
              </w:rPr>
              <w:t>Weaknesses</w:t>
            </w:r>
          </w:p>
        </w:tc>
      </w:tr>
      <w:tr w:rsidR="000D4363" w:rsidRPr="00EC0540" w:rsidTr="00EC1D17">
        <w:tc>
          <w:tcPr>
            <w:tcW w:w="13716" w:type="dxa"/>
            <w:gridSpan w:val="6"/>
            <w:vAlign w:val="center"/>
          </w:tcPr>
          <w:p w:rsidR="000D4363" w:rsidRDefault="000D4363" w:rsidP="004E2A4F">
            <w:pPr>
              <w:jc w:val="center"/>
              <w:rPr>
                <w:b/>
                <w:lang w:val="en-GB"/>
              </w:rPr>
            </w:pPr>
            <w:r w:rsidRPr="000D4363">
              <w:rPr>
                <w:b/>
                <w:lang w:val="en-GB"/>
              </w:rPr>
              <w:t>BREST</w:t>
            </w:r>
          </w:p>
          <w:p w:rsidR="00F122E7" w:rsidRPr="007C2E30" w:rsidRDefault="00F122E7" w:rsidP="007C2E30">
            <w:pPr>
              <w:rPr>
                <w:lang w:val="en-GB"/>
              </w:rPr>
            </w:pPr>
            <w:r w:rsidRPr="007C2E30">
              <w:rPr>
                <w:lang w:val="en-GB"/>
              </w:rPr>
              <w:t>Brest has a long standing maritime tradition. Alongside distinctive maritime economic activities, economic development has also been favoured by the presence of three maritime clusters</w:t>
            </w:r>
            <w:r w:rsidR="009C141F" w:rsidRPr="007C2E30">
              <w:rPr>
                <w:lang w:val="en-GB"/>
              </w:rPr>
              <w:t xml:space="preserve">, which </w:t>
            </w:r>
            <w:r w:rsidRPr="007C2E30">
              <w:rPr>
                <w:lang w:val="en-GB"/>
              </w:rPr>
              <w:t xml:space="preserve">have </w:t>
            </w:r>
            <w:r w:rsidR="009C141F" w:rsidRPr="007C2E30">
              <w:rPr>
                <w:lang w:val="en-GB"/>
              </w:rPr>
              <w:t>also enabled a</w:t>
            </w:r>
            <w:r w:rsidRPr="007C2E30">
              <w:rPr>
                <w:lang w:val="en-GB"/>
              </w:rPr>
              <w:t xml:space="preserve"> high concentration of research and development activities in maritime areas. </w:t>
            </w:r>
            <w:r w:rsidR="00D66599">
              <w:rPr>
                <w:lang w:val="en-GB"/>
              </w:rPr>
              <w:t>The combination of maritime resources and innovation goes beyond the clusters active in Brest. T</w:t>
            </w:r>
            <w:r w:rsidR="00D66599" w:rsidRPr="00D66599">
              <w:rPr>
                <w:lang w:val="en-GB"/>
              </w:rPr>
              <w:t xml:space="preserve">he Bretagne region </w:t>
            </w:r>
            <w:r w:rsidR="00D66599">
              <w:rPr>
                <w:lang w:val="en-GB"/>
              </w:rPr>
              <w:t xml:space="preserve">supports innovative maritime projects throughout its territory and is keen to involve a wide range of research centres, private companies and foreign investors. For instance, it finances </w:t>
            </w:r>
            <w:r w:rsidR="009C141F" w:rsidRPr="007C2E30">
              <w:rPr>
                <w:lang w:val="en-GB"/>
              </w:rPr>
              <w:t>projects focusing on marine and maritime technologies</w:t>
            </w:r>
            <w:r w:rsidR="009C141F" w:rsidRPr="007C2E30">
              <w:rPr>
                <w:rStyle w:val="FootnoteReference"/>
                <w:lang w:val="en-GB"/>
              </w:rPr>
              <w:footnoteReference w:id="126"/>
            </w:r>
            <w:r w:rsidR="009C141F" w:rsidRPr="007C2E30">
              <w:rPr>
                <w:lang w:val="en-GB"/>
              </w:rPr>
              <w:t>.</w:t>
            </w:r>
          </w:p>
          <w:p w:rsidR="009C141F" w:rsidRDefault="009C141F" w:rsidP="007C2E30">
            <w:pPr>
              <w:rPr>
                <w:lang w:val="en-GB"/>
              </w:rPr>
            </w:pPr>
          </w:p>
        </w:tc>
      </w:tr>
      <w:tr w:rsidR="00053DAF" w:rsidRPr="00EE6C34" w:rsidTr="001A4D2F">
        <w:tc>
          <w:tcPr>
            <w:tcW w:w="1970" w:type="dxa"/>
            <w:vAlign w:val="center"/>
          </w:tcPr>
          <w:p w:rsidR="00985B03" w:rsidRDefault="000C016A" w:rsidP="004E2A4F">
            <w:pPr>
              <w:jc w:val="center"/>
              <w:rPr>
                <w:lang w:val="en-GB"/>
              </w:rPr>
            </w:pPr>
            <w:r>
              <w:rPr>
                <w:lang w:val="en-GB"/>
              </w:rPr>
              <w:t>Technopôle Brest-Iroise (</w:t>
            </w:r>
            <w:r w:rsidR="00E838DC">
              <w:rPr>
                <w:lang w:val="en-GB"/>
              </w:rPr>
              <w:t>Brest</w:t>
            </w:r>
            <w:r>
              <w:rPr>
                <w:lang w:val="en-GB"/>
              </w:rPr>
              <w:t>)</w:t>
            </w:r>
            <w:r w:rsidR="004A256A">
              <w:rPr>
                <w:rStyle w:val="FootnoteReference"/>
                <w:lang w:val="en-GB"/>
              </w:rPr>
              <w:footnoteReference w:id="127"/>
            </w:r>
            <w:r w:rsidR="00CE6A09">
              <w:rPr>
                <w:rStyle w:val="FootnoteReference"/>
                <w:lang w:val="en-GB"/>
              </w:rPr>
              <w:footnoteReference w:id="128"/>
            </w:r>
          </w:p>
        </w:tc>
        <w:tc>
          <w:tcPr>
            <w:tcW w:w="1115" w:type="dxa"/>
            <w:vAlign w:val="center"/>
          </w:tcPr>
          <w:p w:rsidR="00985B03" w:rsidRDefault="00262C27" w:rsidP="004E2A4F">
            <w:pPr>
              <w:jc w:val="center"/>
              <w:rPr>
                <w:lang w:val="en-GB"/>
              </w:rPr>
            </w:pPr>
            <w:r>
              <w:rPr>
                <w:lang w:val="en-GB"/>
              </w:rPr>
              <w:t>FR</w:t>
            </w:r>
          </w:p>
        </w:tc>
        <w:tc>
          <w:tcPr>
            <w:tcW w:w="3544" w:type="dxa"/>
            <w:vAlign w:val="center"/>
          </w:tcPr>
          <w:p w:rsidR="005D1950" w:rsidRDefault="004A256A" w:rsidP="005D1950">
            <w:pPr>
              <w:rPr>
                <w:lang w:val="en-GB"/>
              </w:rPr>
            </w:pPr>
            <w:r>
              <w:rPr>
                <w:lang w:val="en-GB"/>
              </w:rPr>
              <w:t>Maritime Science and Technology</w:t>
            </w:r>
            <w:r w:rsidR="005D1950">
              <w:rPr>
                <w:lang w:val="en-GB"/>
              </w:rPr>
              <w:t xml:space="preserve">. </w:t>
            </w:r>
          </w:p>
          <w:p w:rsidR="00985B03" w:rsidRDefault="005D1950" w:rsidP="005D1950">
            <w:pPr>
              <w:rPr>
                <w:lang w:val="en-GB"/>
              </w:rPr>
            </w:pPr>
            <w:r>
              <w:rPr>
                <w:lang w:val="en-GB"/>
              </w:rPr>
              <w:t xml:space="preserve">The products developed within this cluster </w:t>
            </w:r>
            <w:r w:rsidR="004D618D">
              <w:rPr>
                <w:lang w:val="en-GB"/>
              </w:rPr>
              <w:t>find application in different areas</w:t>
            </w:r>
            <w:r>
              <w:rPr>
                <w:lang w:val="en-GB"/>
              </w:rPr>
              <w:t>:</w:t>
            </w:r>
          </w:p>
          <w:p w:rsidR="004D618D" w:rsidRDefault="005D1950" w:rsidP="004D618D">
            <w:pPr>
              <w:pStyle w:val="ListParagraph"/>
              <w:numPr>
                <w:ilvl w:val="0"/>
                <w:numId w:val="7"/>
              </w:numPr>
              <w:ind w:left="148" w:hanging="148"/>
              <w:rPr>
                <w:lang w:val="en-GB"/>
              </w:rPr>
            </w:pPr>
            <w:r>
              <w:rPr>
                <w:lang w:val="en-GB"/>
              </w:rPr>
              <w:lastRenderedPageBreak/>
              <w:t>Coastal protection</w:t>
            </w:r>
          </w:p>
          <w:p w:rsidR="004D618D" w:rsidRDefault="005D1950" w:rsidP="004D618D">
            <w:pPr>
              <w:pStyle w:val="ListParagraph"/>
              <w:numPr>
                <w:ilvl w:val="0"/>
                <w:numId w:val="7"/>
              </w:numPr>
              <w:ind w:left="148" w:hanging="148"/>
              <w:rPr>
                <w:lang w:val="en-GB"/>
              </w:rPr>
            </w:pPr>
            <w:r w:rsidRPr="004D618D">
              <w:rPr>
                <w:lang w:val="en-GB"/>
              </w:rPr>
              <w:t xml:space="preserve">Exploitation of maritime </w:t>
            </w:r>
            <w:r w:rsidR="00C53C47">
              <w:rPr>
                <w:lang w:val="en-GB"/>
              </w:rPr>
              <w:t xml:space="preserve"> (i.e. fisheries and aquaculture)</w:t>
            </w:r>
            <w:r w:rsidRPr="004D618D">
              <w:rPr>
                <w:lang w:val="en-GB"/>
              </w:rPr>
              <w:t>resources</w:t>
            </w:r>
          </w:p>
          <w:p w:rsidR="004D618D" w:rsidRDefault="004D618D" w:rsidP="004D618D">
            <w:pPr>
              <w:pStyle w:val="ListParagraph"/>
              <w:numPr>
                <w:ilvl w:val="0"/>
                <w:numId w:val="7"/>
              </w:numPr>
              <w:ind w:left="148" w:hanging="148"/>
              <w:rPr>
                <w:lang w:val="en-GB"/>
              </w:rPr>
            </w:pPr>
            <w:r w:rsidRPr="004D618D">
              <w:rPr>
                <w:lang w:val="en-GB"/>
              </w:rPr>
              <w:t xml:space="preserve">Shipbuilding </w:t>
            </w:r>
          </w:p>
          <w:p w:rsidR="004D618D" w:rsidRDefault="005D1950" w:rsidP="004D618D">
            <w:pPr>
              <w:pStyle w:val="ListParagraph"/>
              <w:numPr>
                <w:ilvl w:val="0"/>
                <w:numId w:val="7"/>
              </w:numPr>
              <w:ind w:left="148" w:hanging="148"/>
              <w:rPr>
                <w:lang w:val="en-GB"/>
              </w:rPr>
            </w:pPr>
            <w:r w:rsidRPr="004D618D">
              <w:rPr>
                <w:lang w:val="en-GB"/>
              </w:rPr>
              <w:t>Offshore oil and gas</w:t>
            </w:r>
          </w:p>
          <w:p w:rsidR="004D618D" w:rsidRDefault="005D1950" w:rsidP="004D618D">
            <w:pPr>
              <w:pStyle w:val="ListParagraph"/>
              <w:numPr>
                <w:ilvl w:val="0"/>
                <w:numId w:val="7"/>
              </w:numPr>
              <w:ind w:left="148" w:hanging="148"/>
              <w:rPr>
                <w:lang w:val="en-GB"/>
              </w:rPr>
            </w:pPr>
            <w:r w:rsidRPr="004D618D">
              <w:rPr>
                <w:lang w:val="en-GB"/>
              </w:rPr>
              <w:t>Ocean renewable energy and offshore wind</w:t>
            </w:r>
          </w:p>
          <w:p w:rsidR="004D618D" w:rsidRDefault="005D1950" w:rsidP="004D618D">
            <w:pPr>
              <w:pStyle w:val="ListParagraph"/>
              <w:numPr>
                <w:ilvl w:val="0"/>
                <w:numId w:val="7"/>
              </w:numPr>
              <w:ind w:left="148" w:hanging="148"/>
              <w:rPr>
                <w:lang w:val="en-GB"/>
              </w:rPr>
            </w:pPr>
            <w:r w:rsidRPr="004D618D">
              <w:rPr>
                <w:lang w:val="en-GB"/>
              </w:rPr>
              <w:t>Environmental monitoring</w:t>
            </w:r>
          </w:p>
          <w:p w:rsidR="005D1950" w:rsidRPr="004D618D" w:rsidRDefault="005D1950" w:rsidP="004D618D">
            <w:pPr>
              <w:pStyle w:val="ListParagraph"/>
              <w:numPr>
                <w:ilvl w:val="0"/>
                <w:numId w:val="7"/>
              </w:numPr>
              <w:ind w:left="148" w:hanging="148"/>
              <w:rPr>
                <w:lang w:val="en-GB"/>
              </w:rPr>
            </w:pPr>
            <w:r w:rsidRPr="004D618D">
              <w:rPr>
                <w:lang w:val="en-GB"/>
              </w:rPr>
              <w:t xml:space="preserve">Maritime transport </w:t>
            </w:r>
          </w:p>
        </w:tc>
        <w:tc>
          <w:tcPr>
            <w:tcW w:w="1276" w:type="dxa"/>
            <w:vAlign w:val="center"/>
          </w:tcPr>
          <w:p w:rsidR="00985B03" w:rsidRDefault="000C098B" w:rsidP="005D1950">
            <w:pPr>
              <w:jc w:val="center"/>
              <w:rPr>
                <w:lang w:val="en-GB"/>
              </w:rPr>
            </w:pPr>
            <w:r>
              <w:rPr>
                <w:lang w:val="en-GB"/>
              </w:rPr>
              <w:lastRenderedPageBreak/>
              <w:t>Mature</w:t>
            </w:r>
            <w:r w:rsidR="005D1950">
              <w:rPr>
                <w:lang w:val="en-GB"/>
              </w:rPr>
              <w:t xml:space="preserve"> </w:t>
            </w:r>
          </w:p>
        </w:tc>
        <w:tc>
          <w:tcPr>
            <w:tcW w:w="2835" w:type="dxa"/>
            <w:vAlign w:val="center"/>
          </w:tcPr>
          <w:p w:rsidR="00EC38D5" w:rsidRDefault="00EC38D5" w:rsidP="00C653C5">
            <w:pPr>
              <w:rPr>
                <w:lang w:val="en-GB"/>
              </w:rPr>
            </w:pPr>
            <w:r w:rsidRPr="00EC38D5">
              <w:rPr>
                <w:lang w:val="en-GB"/>
              </w:rPr>
              <w:t xml:space="preserve">•2100 researchers working on </w:t>
            </w:r>
            <w:r>
              <w:rPr>
                <w:lang w:val="en-GB"/>
              </w:rPr>
              <w:t xml:space="preserve">science and technology applied to the sea; </w:t>
            </w:r>
          </w:p>
          <w:p w:rsidR="00EC38D5" w:rsidRPr="00EC38D5" w:rsidRDefault="00EC38D5" w:rsidP="00C653C5">
            <w:pPr>
              <w:rPr>
                <w:lang w:val="en-GB"/>
              </w:rPr>
            </w:pPr>
            <w:r>
              <w:rPr>
                <w:lang w:val="en-GB"/>
              </w:rPr>
              <w:t xml:space="preserve">•Brest is the </w:t>
            </w:r>
            <w:r w:rsidRPr="00EC38D5">
              <w:rPr>
                <w:lang w:val="en-GB"/>
              </w:rPr>
              <w:t xml:space="preserve">1st </w:t>
            </w:r>
            <w:r>
              <w:rPr>
                <w:lang w:val="en-GB"/>
              </w:rPr>
              <w:t xml:space="preserve">French </w:t>
            </w:r>
            <w:r w:rsidRPr="00EC38D5">
              <w:rPr>
                <w:lang w:val="en-GB"/>
              </w:rPr>
              <w:t>harbour for ship repair</w:t>
            </w:r>
          </w:p>
          <w:p w:rsidR="00EC38D5" w:rsidRPr="00EC38D5" w:rsidRDefault="00EC38D5" w:rsidP="00C653C5">
            <w:pPr>
              <w:rPr>
                <w:lang w:val="en-GB"/>
              </w:rPr>
            </w:pPr>
            <w:r w:rsidRPr="00EC38D5">
              <w:rPr>
                <w:lang w:val="en-GB"/>
              </w:rPr>
              <w:lastRenderedPageBreak/>
              <w:t>•Host of Pôle Mer Bretagn</w:t>
            </w:r>
            <w:r>
              <w:rPr>
                <w:lang w:val="en-GB"/>
              </w:rPr>
              <w:t>e (Sea Competitiveness Cluster)</w:t>
            </w:r>
          </w:p>
          <w:p w:rsidR="000C016A" w:rsidRDefault="00EC38D5" w:rsidP="00C653C5">
            <w:pPr>
              <w:rPr>
                <w:lang w:val="en-GB"/>
              </w:rPr>
            </w:pPr>
            <w:r w:rsidRPr="00EC38D5">
              <w:rPr>
                <w:lang w:val="en-GB"/>
              </w:rPr>
              <w:t>•Host of France Energies Marines (French R&amp;D National Institute for marine energies)</w:t>
            </w:r>
          </w:p>
        </w:tc>
        <w:tc>
          <w:tcPr>
            <w:tcW w:w="2976" w:type="dxa"/>
            <w:vAlign w:val="center"/>
          </w:tcPr>
          <w:p w:rsidR="00985B03" w:rsidRDefault="00985B03" w:rsidP="004E2A4F">
            <w:pPr>
              <w:jc w:val="center"/>
              <w:rPr>
                <w:lang w:val="en-GB"/>
              </w:rPr>
            </w:pPr>
          </w:p>
        </w:tc>
      </w:tr>
      <w:tr w:rsidR="00053DAF" w:rsidRPr="00EC0540" w:rsidTr="001A4D2F">
        <w:tc>
          <w:tcPr>
            <w:tcW w:w="1970" w:type="dxa"/>
            <w:vAlign w:val="center"/>
          </w:tcPr>
          <w:p w:rsidR="00985B03" w:rsidRDefault="009256E9" w:rsidP="004E2A4F">
            <w:pPr>
              <w:jc w:val="center"/>
              <w:rPr>
                <w:lang w:val="en-GB"/>
              </w:rPr>
            </w:pPr>
            <w:r>
              <w:rPr>
                <w:lang w:val="en-GB"/>
              </w:rPr>
              <w:lastRenderedPageBreak/>
              <w:t>Pôle-</w:t>
            </w:r>
            <w:r w:rsidR="0012488B">
              <w:rPr>
                <w:lang w:val="en-GB"/>
              </w:rPr>
              <w:t>Mer Bretagne</w:t>
            </w:r>
            <w:r w:rsidR="0012488B">
              <w:rPr>
                <w:rStyle w:val="FootnoteReference"/>
                <w:lang w:val="en-GB"/>
              </w:rPr>
              <w:footnoteReference w:id="129"/>
            </w:r>
            <w:r w:rsidR="00260A16">
              <w:rPr>
                <w:rStyle w:val="FootnoteReference"/>
                <w:lang w:val="en-GB"/>
              </w:rPr>
              <w:footnoteReference w:id="130"/>
            </w:r>
          </w:p>
        </w:tc>
        <w:tc>
          <w:tcPr>
            <w:tcW w:w="1115" w:type="dxa"/>
            <w:vAlign w:val="center"/>
          </w:tcPr>
          <w:p w:rsidR="00985B03" w:rsidRDefault="00262C27" w:rsidP="004E2A4F">
            <w:pPr>
              <w:jc w:val="center"/>
              <w:rPr>
                <w:lang w:val="en-GB"/>
              </w:rPr>
            </w:pPr>
            <w:r>
              <w:rPr>
                <w:lang w:val="en-GB"/>
              </w:rPr>
              <w:t>FR</w:t>
            </w:r>
          </w:p>
        </w:tc>
        <w:tc>
          <w:tcPr>
            <w:tcW w:w="3544" w:type="dxa"/>
            <w:vAlign w:val="center"/>
          </w:tcPr>
          <w:p w:rsidR="0012488B" w:rsidRDefault="0012488B" w:rsidP="00FF2F7C">
            <w:pPr>
              <w:pStyle w:val="ListParagraph"/>
              <w:numPr>
                <w:ilvl w:val="0"/>
                <w:numId w:val="32"/>
              </w:numPr>
              <w:ind w:left="122" w:hanging="122"/>
              <w:rPr>
                <w:lang w:val="en-GB"/>
              </w:rPr>
            </w:pPr>
            <w:r w:rsidRPr="0012488B">
              <w:rPr>
                <w:lang w:val="en-GB"/>
              </w:rPr>
              <w:t>Maritime safety and security</w:t>
            </w:r>
          </w:p>
          <w:p w:rsidR="0012488B" w:rsidRDefault="0012488B" w:rsidP="00FF2F7C">
            <w:pPr>
              <w:pStyle w:val="ListParagraph"/>
              <w:numPr>
                <w:ilvl w:val="0"/>
                <w:numId w:val="32"/>
              </w:numPr>
              <w:ind w:left="122" w:hanging="122"/>
              <w:rPr>
                <w:lang w:val="en-GB"/>
              </w:rPr>
            </w:pPr>
            <w:r w:rsidRPr="0012488B">
              <w:rPr>
                <w:lang w:val="en-GB"/>
              </w:rPr>
              <w:t>Shipbuilding and leisure boatbuilding</w:t>
            </w:r>
          </w:p>
          <w:p w:rsidR="0012488B" w:rsidRDefault="0012488B" w:rsidP="00FF2F7C">
            <w:pPr>
              <w:pStyle w:val="ListParagraph"/>
              <w:numPr>
                <w:ilvl w:val="0"/>
                <w:numId w:val="32"/>
              </w:numPr>
              <w:ind w:left="122" w:hanging="122"/>
              <w:rPr>
                <w:lang w:val="en-GB"/>
              </w:rPr>
            </w:pPr>
            <w:r w:rsidRPr="0012488B">
              <w:rPr>
                <w:lang w:val="en-GB"/>
              </w:rPr>
              <w:t>Marine energy resources</w:t>
            </w:r>
          </w:p>
          <w:p w:rsidR="0012488B" w:rsidRDefault="0012488B" w:rsidP="00FF2F7C">
            <w:pPr>
              <w:pStyle w:val="ListParagraph"/>
              <w:numPr>
                <w:ilvl w:val="0"/>
                <w:numId w:val="32"/>
              </w:numPr>
              <w:ind w:left="122" w:hanging="122"/>
              <w:rPr>
                <w:lang w:val="en-GB"/>
              </w:rPr>
            </w:pPr>
            <w:r w:rsidRPr="0012488B">
              <w:rPr>
                <w:lang w:val="en-GB"/>
              </w:rPr>
              <w:t>Marine biological resources</w:t>
            </w:r>
          </w:p>
          <w:p w:rsidR="0012488B" w:rsidRPr="0012488B" w:rsidRDefault="0012488B" w:rsidP="00FF2F7C">
            <w:pPr>
              <w:pStyle w:val="ListParagraph"/>
              <w:numPr>
                <w:ilvl w:val="0"/>
                <w:numId w:val="32"/>
              </w:numPr>
              <w:ind w:left="122" w:hanging="122"/>
              <w:rPr>
                <w:lang w:val="en-GB"/>
              </w:rPr>
            </w:pPr>
            <w:r w:rsidRPr="0012488B">
              <w:rPr>
                <w:lang w:val="en-GB"/>
              </w:rPr>
              <w:t>Coastal and environmental planning and management</w:t>
            </w:r>
          </w:p>
        </w:tc>
        <w:tc>
          <w:tcPr>
            <w:tcW w:w="1276" w:type="dxa"/>
            <w:vAlign w:val="center"/>
          </w:tcPr>
          <w:p w:rsidR="00985B03" w:rsidRDefault="00DF4FD6" w:rsidP="004E2A4F">
            <w:pPr>
              <w:jc w:val="center"/>
              <w:rPr>
                <w:lang w:val="en-GB"/>
              </w:rPr>
            </w:pPr>
            <w:r>
              <w:rPr>
                <w:lang w:val="en-GB"/>
              </w:rPr>
              <w:t>Growing</w:t>
            </w:r>
          </w:p>
        </w:tc>
        <w:tc>
          <w:tcPr>
            <w:tcW w:w="2835" w:type="dxa"/>
            <w:vAlign w:val="center"/>
          </w:tcPr>
          <w:p w:rsidR="00C653C5" w:rsidRDefault="00C653C5" w:rsidP="00FF2F7C">
            <w:pPr>
              <w:pStyle w:val="ListParagraph"/>
              <w:numPr>
                <w:ilvl w:val="0"/>
                <w:numId w:val="33"/>
              </w:numPr>
              <w:ind w:left="178" w:hanging="142"/>
              <w:rPr>
                <w:lang w:val="en-GB"/>
              </w:rPr>
            </w:pPr>
            <w:r w:rsidRPr="00C653C5">
              <w:rPr>
                <w:lang w:val="en-GB"/>
              </w:rPr>
              <w:t>Regional maritime dynamism of the Brittany region, with well developed marine infrastructure and wide-ranging marine resources</w:t>
            </w:r>
          </w:p>
          <w:p w:rsidR="00C653C5" w:rsidRDefault="00766971" w:rsidP="00FF2F7C">
            <w:pPr>
              <w:pStyle w:val="ListParagraph"/>
              <w:numPr>
                <w:ilvl w:val="0"/>
                <w:numId w:val="33"/>
              </w:numPr>
              <w:ind w:left="178" w:hanging="142"/>
              <w:rPr>
                <w:lang w:val="en-GB"/>
              </w:rPr>
            </w:pPr>
            <w:r w:rsidRPr="00766971">
              <w:rPr>
                <w:lang w:val="en-GB"/>
              </w:rPr>
              <w:t>Strategic</w:t>
            </w:r>
            <w:r w:rsidR="00681F07" w:rsidRPr="00766971">
              <w:rPr>
                <w:lang w:val="en-GB"/>
              </w:rPr>
              <w:t xml:space="preserve"> partnersh</w:t>
            </w:r>
            <w:r w:rsidR="00C653C5" w:rsidRPr="00766971">
              <w:rPr>
                <w:lang w:val="en-GB"/>
              </w:rPr>
              <w:t>ip with its ‘twin’ Pôle Mer PACA</w:t>
            </w:r>
          </w:p>
          <w:p w:rsidR="00766971" w:rsidRDefault="00766971" w:rsidP="00FF2F7C">
            <w:pPr>
              <w:pStyle w:val="ListParagraph"/>
              <w:numPr>
                <w:ilvl w:val="0"/>
                <w:numId w:val="33"/>
              </w:numPr>
              <w:ind w:left="178" w:hanging="142"/>
              <w:rPr>
                <w:lang w:val="en-GB"/>
              </w:rPr>
            </w:pPr>
            <w:r>
              <w:rPr>
                <w:lang w:val="en-GB"/>
              </w:rPr>
              <w:t xml:space="preserve">Strong international network, including </w:t>
            </w:r>
            <w:r w:rsidR="001A4D2F">
              <w:rPr>
                <w:lang w:val="en-GB"/>
              </w:rPr>
              <w:t xml:space="preserve">close collaboration with </w:t>
            </w:r>
            <w:r>
              <w:rPr>
                <w:lang w:val="en-GB"/>
              </w:rPr>
              <w:t>overseas territories</w:t>
            </w:r>
          </w:p>
          <w:p w:rsidR="009256E9" w:rsidRPr="001A4D2F" w:rsidRDefault="009256E9" w:rsidP="001A4D2F">
            <w:pPr>
              <w:ind w:left="36"/>
              <w:rPr>
                <w:lang w:val="en-GB"/>
              </w:rPr>
            </w:pPr>
          </w:p>
          <w:p w:rsidR="00681F07" w:rsidRPr="00C653C5" w:rsidRDefault="00681F07" w:rsidP="00766971">
            <w:pPr>
              <w:pStyle w:val="ListParagraph"/>
              <w:ind w:left="178"/>
              <w:rPr>
                <w:lang w:val="en-GB"/>
              </w:rPr>
            </w:pPr>
          </w:p>
        </w:tc>
        <w:tc>
          <w:tcPr>
            <w:tcW w:w="2976" w:type="dxa"/>
            <w:vAlign w:val="center"/>
          </w:tcPr>
          <w:p w:rsidR="00053DAF" w:rsidRDefault="009256E9" w:rsidP="00FF2F7C">
            <w:pPr>
              <w:pStyle w:val="ListParagraph"/>
              <w:numPr>
                <w:ilvl w:val="0"/>
                <w:numId w:val="33"/>
              </w:numPr>
              <w:ind w:left="168" w:hanging="168"/>
              <w:rPr>
                <w:lang w:val="en-GB"/>
              </w:rPr>
            </w:pPr>
            <w:r>
              <w:rPr>
                <w:lang w:val="en-GB"/>
              </w:rPr>
              <w:t xml:space="preserve">The local dimension </w:t>
            </w:r>
            <w:r w:rsidR="00053DAF">
              <w:rPr>
                <w:lang w:val="en-GB"/>
              </w:rPr>
              <w:t>is somewhat a source of complexity, notably for the relation between the central state and the local communities</w:t>
            </w:r>
            <w:r w:rsidR="00053DAF">
              <w:rPr>
                <w:rStyle w:val="FootnoteReference"/>
                <w:lang w:val="en-GB"/>
              </w:rPr>
              <w:footnoteReference w:id="131"/>
            </w:r>
          </w:p>
          <w:p w:rsidR="00053DAF" w:rsidRDefault="00053DAF" w:rsidP="00FF2F7C">
            <w:pPr>
              <w:pStyle w:val="ListParagraph"/>
              <w:numPr>
                <w:ilvl w:val="0"/>
                <w:numId w:val="33"/>
              </w:numPr>
              <w:ind w:left="168" w:hanging="168"/>
              <w:rPr>
                <w:lang w:val="en-GB"/>
              </w:rPr>
            </w:pPr>
            <w:r w:rsidRPr="00053DAF">
              <w:rPr>
                <w:lang w:val="en-GB"/>
              </w:rPr>
              <w:t>Weak ex post evaluation of projects</w:t>
            </w:r>
            <w:r w:rsidR="009256E9">
              <w:rPr>
                <w:rStyle w:val="FootnoteReference"/>
                <w:lang w:val="en-GB"/>
              </w:rPr>
              <w:footnoteReference w:id="132"/>
            </w:r>
          </w:p>
          <w:p w:rsidR="00053DAF" w:rsidRDefault="00053DAF" w:rsidP="00FF2F7C">
            <w:pPr>
              <w:pStyle w:val="ListParagraph"/>
              <w:numPr>
                <w:ilvl w:val="0"/>
                <w:numId w:val="33"/>
              </w:numPr>
              <w:ind w:left="168" w:hanging="168"/>
              <w:rPr>
                <w:lang w:val="en-GB"/>
              </w:rPr>
            </w:pPr>
            <w:r w:rsidRPr="00053DAF">
              <w:rPr>
                <w:lang w:val="en-GB"/>
              </w:rPr>
              <w:t>Weak integration of the pôle’s projects with overall national R&amp;D strategies</w:t>
            </w:r>
            <w:r w:rsidR="009256E9">
              <w:rPr>
                <w:rStyle w:val="FootnoteReference"/>
                <w:lang w:val="en-GB"/>
              </w:rPr>
              <w:footnoteReference w:id="133"/>
            </w:r>
          </w:p>
          <w:p w:rsidR="00053DAF" w:rsidRPr="00053DAF" w:rsidRDefault="00053DAF" w:rsidP="00FF2F7C">
            <w:pPr>
              <w:pStyle w:val="ListParagraph"/>
              <w:numPr>
                <w:ilvl w:val="0"/>
                <w:numId w:val="33"/>
              </w:numPr>
              <w:ind w:left="168" w:hanging="168"/>
              <w:rPr>
                <w:lang w:val="en-GB"/>
              </w:rPr>
            </w:pPr>
            <w:r w:rsidRPr="00053DAF">
              <w:rPr>
                <w:lang w:val="en-GB"/>
              </w:rPr>
              <w:t xml:space="preserve">Financial support to projects </w:t>
            </w:r>
            <w:r>
              <w:rPr>
                <w:lang w:val="en-GB"/>
              </w:rPr>
              <w:t>is not always adapted to projects life-cycle</w:t>
            </w:r>
            <w:r w:rsidRPr="00053DAF">
              <w:rPr>
                <w:lang w:val="en-GB"/>
              </w:rPr>
              <w:t xml:space="preserve"> </w:t>
            </w:r>
            <w:r w:rsidR="009256E9">
              <w:rPr>
                <w:rStyle w:val="FootnoteReference"/>
                <w:lang w:val="en-GB"/>
              </w:rPr>
              <w:footnoteReference w:id="134"/>
            </w:r>
          </w:p>
        </w:tc>
      </w:tr>
      <w:tr w:rsidR="00053DAF" w:rsidRPr="00EC0540" w:rsidTr="001A4D2F">
        <w:tc>
          <w:tcPr>
            <w:tcW w:w="1970" w:type="dxa"/>
            <w:vAlign w:val="center"/>
          </w:tcPr>
          <w:p w:rsidR="00985B03" w:rsidRDefault="00150F2C" w:rsidP="004E2A4F">
            <w:pPr>
              <w:jc w:val="center"/>
              <w:rPr>
                <w:lang w:val="en-GB"/>
              </w:rPr>
            </w:pPr>
            <w:r>
              <w:rPr>
                <w:lang w:val="en-GB"/>
              </w:rPr>
              <w:lastRenderedPageBreak/>
              <w:t>Bretagne Pôle Naval</w:t>
            </w:r>
            <w:r>
              <w:rPr>
                <w:rStyle w:val="FootnoteReference"/>
                <w:lang w:val="en-GB"/>
              </w:rPr>
              <w:footnoteReference w:id="135"/>
            </w:r>
            <w:r>
              <w:rPr>
                <w:rStyle w:val="FootnoteReference"/>
                <w:lang w:val="en-GB"/>
              </w:rPr>
              <w:footnoteReference w:id="136"/>
            </w:r>
          </w:p>
        </w:tc>
        <w:tc>
          <w:tcPr>
            <w:tcW w:w="1115" w:type="dxa"/>
            <w:vAlign w:val="center"/>
          </w:tcPr>
          <w:p w:rsidR="00985B03" w:rsidRDefault="00A83C8A" w:rsidP="004E2A4F">
            <w:pPr>
              <w:jc w:val="center"/>
              <w:rPr>
                <w:lang w:val="en-GB"/>
              </w:rPr>
            </w:pPr>
            <w:r>
              <w:rPr>
                <w:lang w:val="en-GB"/>
              </w:rPr>
              <w:t>FR</w:t>
            </w:r>
          </w:p>
        </w:tc>
        <w:tc>
          <w:tcPr>
            <w:tcW w:w="3544" w:type="dxa"/>
            <w:vAlign w:val="center"/>
          </w:tcPr>
          <w:p w:rsidR="00D50D12" w:rsidRPr="00D50D12" w:rsidRDefault="00150F2C" w:rsidP="00FF2F7C">
            <w:pPr>
              <w:pStyle w:val="ListParagraph"/>
              <w:numPr>
                <w:ilvl w:val="0"/>
                <w:numId w:val="35"/>
              </w:numPr>
              <w:tabs>
                <w:tab w:val="left" w:pos="165"/>
                <w:tab w:val="left" w:pos="749"/>
              </w:tabs>
              <w:ind w:left="24" w:firstLine="0"/>
              <w:rPr>
                <w:lang w:val="en-GB"/>
              </w:rPr>
            </w:pPr>
            <w:r w:rsidRPr="00D50D12">
              <w:rPr>
                <w:lang w:val="en-GB"/>
              </w:rPr>
              <w:t>Naval</w:t>
            </w:r>
            <w:r w:rsidR="00D50D12" w:rsidRPr="00D50D12">
              <w:rPr>
                <w:lang w:val="en-GB"/>
              </w:rPr>
              <w:t xml:space="preserve"> (shipbuilding,</w:t>
            </w:r>
          </w:p>
          <w:p w:rsidR="00D50D12" w:rsidRPr="00D50D12" w:rsidRDefault="00D50D12" w:rsidP="00D50D12">
            <w:pPr>
              <w:pStyle w:val="ListParagraph"/>
              <w:tabs>
                <w:tab w:val="left" w:pos="165"/>
                <w:tab w:val="left" w:pos="749"/>
              </w:tabs>
              <w:ind w:left="165"/>
              <w:rPr>
                <w:lang w:val="en-GB"/>
              </w:rPr>
            </w:pPr>
            <w:r>
              <w:rPr>
                <w:lang w:val="en-GB"/>
              </w:rPr>
              <w:t>refit and repair,</w:t>
            </w:r>
          </w:p>
          <w:p w:rsidR="00D50D12" w:rsidRDefault="00D50D12" w:rsidP="00D50D12">
            <w:pPr>
              <w:pStyle w:val="ListParagraph"/>
              <w:tabs>
                <w:tab w:val="left" w:pos="165"/>
                <w:tab w:val="left" w:pos="749"/>
              </w:tabs>
              <w:ind w:left="165"/>
              <w:rPr>
                <w:lang w:val="en-GB"/>
              </w:rPr>
            </w:pPr>
            <w:r>
              <w:rPr>
                <w:lang w:val="en-GB"/>
              </w:rPr>
              <w:t>maintenance</w:t>
            </w:r>
            <w:r w:rsidR="00575A02">
              <w:rPr>
                <w:lang w:val="en-GB"/>
              </w:rPr>
              <w:t>, yachts and leisure boats</w:t>
            </w:r>
            <w:r>
              <w:rPr>
                <w:lang w:val="en-GB"/>
              </w:rPr>
              <w:t>)</w:t>
            </w:r>
          </w:p>
          <w:p w:rsidR="00150F2C" w:rsidRPr="00D50D12" w:rsidRDefault="00150F2C" w:rsidP="00FF2F7C">
            <w:pPr>
              <w:pStyle w:val="ListParagraph"/>
              <w:numPr>
                <w:ilvl w:val="0"/>
                <w:numId w:val="35"/>
              </w:numPr>
              <w:tabs>
                <w:tab w:val="left" w:pos="165"/>
                <w:tab w:val="left" w:pos="749"/>
              </w:tabs>
              <w:ind w:left="165" w:hanging="141"/>
              <w:rPr>
                <w:lang w:val="en-GB"/>
              </w:rPr>
            </w:pPr>
            <w:r w:rsidRPr="00D50D12">
              <w:rPr>
                <w:lang w:val="en-GB"/>
              </w:rPr>
              <w:t>Marine renewable energy</w:t>
            </w:r>
            <w:r w:rsidR="00D50D12" w:rsidRPr="00D50D12">
              <w:rPr>
                <w:lang w:val="en-GB"/>
              </w:rPr>
              <w:t xml:space="preserve"> (tidal, offshore wind, floating offshore wind, wave energy, </w:t>
            </w:r>
            <w:r w:rsidR="00D50D12">
              <w:rPr>
                <w:lang w:val="en-GB"/>
              </w:rPr>
              <w:t>ocean t</w:t>
            </w:r>
            <w:r w:rsidR="00D50D12" w:rsidRPr="00D50D12">
              <w:rPr>
                <w:lang w:val="en-GB"/>
              </w:rPr>
              <w:t xml:space="preserve">hermal </w:t>
            </w:r>
            <w:r w:rsidR="00D50D12">
              <w:rPr>
                <w:lang w:val="en-GB"/>
              </w:rPr>
              <w:t>e</w:t>
            </w:r>
            <w:r w:rsidR="00D50D12" w:rsidRPr="00D50D12">
              <w:rPr>
                <w:lang w:val="en-GB"/>
              </w:rPr>
              <w:t>nergy</w:t>
            </w:r>
          </w:p>
          <w:p w:rsidR="00150F2C" w:rsidRPr="00150F2C" w:rsidRDefault="00150F2C" w:rsidP="00FF2F7C">
            <w:pPr>
              <w:pStyle w:val="ListParagraph"/>
              <w:numPr>
                <w:ilvl w:val="0"/>
                <w:numId w:val="35"/>
              </w:numPr>
              <w:tabs>
                <w:tab w:val="left" w:pos="165"/>
                <w:tab w:val="left" w:pos="749"/>
              </w:tabs>
              <w:ind w:left="24" w:firstLine="0"/>
              <w:rPr>
                <w:lang w:val="en-GB"/>
              </w:rPr>
            </w:pPr>
            <w:r>
              <w:rPr>
                <w:lang w:val="en-GB"/>
              </w:rPr>
              <w:t>Offshore oil and gas</w:t>
            </w:r>
            <w:r w:rsidR="00D50D12">
              <w:rPr>
                <w:lang w:val="en-GB"/>
              </w:rPr>
              <w:t xml:space="preserve"> </w:t>
            </w:r>
          </w:p>
        </w:tc>
        <w:tc>
          <w:tcPr>
            <w:tcW w:w="1276" w:type="dxa"/>
            <w:vAlign w:val="center"/>
          </w:tcPr>
          <w:p w:rsidR="00985B03" w:rsidRDefault="00C93264" w:rsidP="004E2A4F">
            <w:pPr>
              <w:jc w:val="center"/>
              <w:rPr>
                <w:lang w:val="en-GB"/>
              </w:rPr>
            </w:pPr>
            <w:r>
              <w:rPr>
                <w:lang w:val="en-GB"/>
              </w:rPr>
              <w:t>Mature (shipbuilding and ship repair), growing (offshore oil and gas), early development (MREs)</w:t>
            </w:r>
          </w:p>
        </w:tc>
        <w:tc>
          <w:tcPr>
            <w:tcW w:w="2835" w:type="dxa"/>
            <w:vAlign w:val="center"/>
          </w:tcPr>
          <w:p w:rsidR="00C15FBE" w:rsidRPr="00EE6C34" w:rsidRDefault="00575A02" w:rsidP="00B773C7">
            <w:pPr>
              <w:pStyle w:val="ListParagraph"/>
              <w:numPr>
                <w:ilvl w:val="0"/>
                <w:numId w:val="39"/>
              </w:numPr>
              <w:ind w:left="262" w:hanging="262"/>
            </w:pPr>
            <w:r w:rsidRPr="00EE6C34">
              <w:t xml:space="preserve">Available industrial and port infrastructure </w:t>
            </w:r>
            <w:r w:rsidR="00C57257">
              <w:rPr>
                <w:rStyle w:val="FootnoteReference"/>
                <w:lang w:val="en-GB"/>
              </w:rPr>
              <w:footnoteReference w:id="137"/>
            </w:r>
          </w:p>
          <w:p w:rsidR="00C15FBE" w:rsidRDefault="00832979" w:rsidP="00B773C7">
            <w:pPr>
              <w:pStyle w:val="ListParagraph"/>
              <w:numPr>
                <w:ilvl w:val="0"/>
                <w:numId w:val="39"/>
              </w:numPr>
              <w:ind w:left="262" w:hanging="262"/>
              <w:rPr>
                <w:lang w:val="en-GB"/>
              </w:rPr>
            </w:pPr>
            <w:r w:rsidRPr="00C15FBE">
              <w:rPr>
                <w:lang w:val="en-GB"/>
              </w:rPr>
              <w:t>Shipbuilding is the 4</w:t>
            </w:r>
            <w:r w:rsidRPr="00C15FBE">
              <w:rPr>
                <w:vertAlign w:val="superscript"/>
                <w:lang w:val="en-GB"/>
              </w:rPr>
              <w:t>th</w:t>
            </w:r>
            <w:r w:rsidRPr="00C15FBE">
              <w:rPr>
                <w:lang w:val="en-GB"/>
              </w:rPr>
              <w:t xml:space="preserve"> industrial sector in the region</w:t>
            </w:r>
          </w:p>
          <w:p w:rsidR="00C15FBE" w:rsidRDefault="00832979" w:rsidP="00B773C7">
            <w:pPr>
              <w:pStyle w:val="ListParagraph"/>
              <w:numPr>
                <w:ilvl w:val="0"/>
                <w:numId w:val="39"/>
              </w:numPr>
              <w:ind w:left="262" w:hanging="262"/>
              <w:rPr>
                <w:lang w:val="en-GB"/>
              </w:rPr>
            </w:pPr>
            <w:r w:rsidRPr="00C15FBE">
              <w:rPr>
                <w:lang w:val="en-GB"/>
              </w:rPr>
              <w:t>Strong international reputation of Brest for ship repair (1</w:t>
            </w:r>
            <w:r w:rsidRPr="00C15FBE">
              <w:rPr>
                <w:vertAlign w:val="superscript"/>
                <w:lang w:val="en-GB"/>
              </w:rPr>
              <w:t>st</w:t>
            </w:r>
            <w:r w:rsidRPr="00C15FBE">
              <w:rPr>
                <w:lang w:val="en-GB"/>
              </w:rPr>
              <w:t xml:space="preserve"> French port for ship repair)</w:t>
            </w:r>
          </w:p>
          <w:p w:rsidR="00832979" w:rsidRPr="00C15FBE" w:rsidRDefault="000758E3" w:rsidP="00B773C7">
            <w:pPr>
              <w:pStyle w:val="ListParagraph"/>
              <w:numPr>
                <w:ilvl w:val="0"/>
                <w:numId w:val="39"/>
              </w:numPr>
              <w:ind w:left="262" w:hanging="262"/>
              <w:rPr>
                <w:lang w:val="en-GB"/>
              </w:rPr>
            </w:pPr>
            <w:r w:rsidRPr="00C15FBE">
              <w:rPr>
                <w:lang w:val="en-GB"/>
              </w:rPr>
              <w:t>Support and involvement of the region in structuring and federating the position of thousands SMEs active in the MRE sector</w:t>
            </w:r>
            <w:r>
              <w:rPr>
                <w:rStyle w:val="FootnoteReference"/>
                <w:lang w:val="en-GB"/>
              </w:rPr>
              <w:footnoteReference w:id="138"/>
            </w:r>
          </w:p>
        </w:tc>
        <w:tc>
          <w:tcPr>
            <w:tcW w:w="2976" w:type="dxa"/>
            <w:vAlign w:val="center"/>
          </w:tcPr>
          <w:p w:rsidR="00985B03" w:rsidRDefault="00F73520" w:rsidP="00B773C7">
            <w:pPr>
              <w:pStyle w:val="ListParagraph"/>
              <w:numPr>
                <w:ilvl w:val="0"/>
                <w:numId w:val="39"/>
              </w:numPr>
              <w:ind w:left="147" w:hanging="147"/>
              <w:rPr>
                <w:lang w:val="en-GB"/>
              </w:rPr>
            </w:pPr>
            <w:r>
              <w:rPr>
                <w:lang w:val="en-GB"/>
              </w:rPr>
              <w:t xml:space="preserve">The Pôle Naval’s website does not specifically mention any research and/or education institutions belonging to the pôle’s network. </w:t>
            </w:r>
          </w:p>
          <w:p w:rsidR="00C15FBE" w:rsidRDefault="00C15FBE" w:rsidP="00B773C7">
            <w:pPr>
              <w:pStyle w:val="ListParagraph"/>
              <w:numPr>
                <w:ilvl w:val="0"/>
                <w:numId w:val="39"/>
              </w:numPr>
              <w:ind w:left="147" w:hanging="147"/>
              <w:rPr>
                <w:lang w:val="en-GB"/>
              </w:rPr>
            </w:pPr>
            <w:r>
              <w:rPr>
                <w:lang w:val="en-GB"/>
              </w:rPr>
              <w:t>Not part of the ‘centrally driven’ French policy on competitiveness clusters</w:t>
            </w:r>
          </w:p>
          <w:p w:rsidR="00C15FBE" w:rsidRDefault="00C15FBE" w:rsidP="00F73520">
            <w:pPr>
              <w:pStyle w:val="ListParagraph"/>
              <w:ind w:left="147"/>
              <w:rPr>
                <w:lang w:val="en-GB"/>
              </w:rPr>
            </w:pPr>
          </w:p>
          <w:p w:rsidR="00C93264" w:rsidRPr="00C93264" w:rsidRDefault="00C93264" w:rsidP="00C15FBE">
            <w:pPr>
              <w:pStyle w:val="ListParagraph"/>
              <w:jc w:val="both"/>
              <w:rPr>
                <w:lang w:val="en-GB"/>
              </w:rPr>
            </w:pPr>
          </w:p>
        </w:tc>
      </w:tr>
      <w:tr w:rsidR="003F1B78" w:rsidRPr="00EC0540" w:rsidTr="003F1B78">
        <w:tc>
          <w:tcPr>
            <w:tcW w:w="13716" w:type="dxa"/>
            <w:gridSpan w:val="6"/>
            <w:vAlign w:val="center"/>
          </w:tcPr>
          <w:p w:rsidR="003F1B78" w:rsidRPr="000E6F22" w:rsidRDefault="003F1B78" w:rsidP="007B31BD">
            <w:pPr>
              <w:jc w:val="center"/>
              <w:rPr>
                <w:b/>
                <w:lang w:val="en-GB"/>
              </w:rPr>
            </w:pPr>
            <w:r w:rsidRPr="000E6F22">
              <w:rPr>
                <w:b/>
                <w:lang w:val="en-GB"/>
              </w:rPr>
              <w:t>BORDEAUX</w:t>
            </w:r>
          </w:p>
          <w:p w:rsidR="00CD2541" w:rsidRDefault="003F1B78" w:rsidP="000E6F22">
            <w:pPr>
              <w:rPr>
                <w:lang w:val="en-GB"/>
              </w:rPr>
            </w:pPr>
            <w:r w:rsidRPr="000E6F22">
              <w:rPr>
                <w:lang w:val="en-GB"/>
              </w:rPr>
              <w:t xml:space="preserve">Research has shown that, compared to Bretagne, the city of Bordeaux and its region </w:t>
            </w:r>
            <w:r w:rsidR="00F7433D">
              <w:rPr>
                <w:lang w:val="en-GB"/>
              </w:rPr>
              <w:t>-</w:t>
            </w:r>
            <w:r w:rsidRPr="000E6F22">
              <w:rPr>
                <w:lang w:val="en-GB"/>
              </w:rPr>
              <w:t xml:space="preserve"> Aquitaine- </w:t>
            </w:r>
            <w:r w:rsidR="00910DDF">
              <w:rPr>
                <w:lang w:val="en-GB"/>
              </w:rPr>
              <w:t xml:space="preserve">have not yet developed a network of maritime clusters. </w:t>
            </w:r>
            <w:r w:rsidR="00D66599">
              <w:rPr>
                <w:lang w:val="en-GB"/>
              </w:rPr>
              <w:t xml:space="preserve">As confirmed by our research and data collection, a large combination of maritime economic activities can be observed in the region, including – for instance – shipbuilding. However, interlinkages among these and between private and public actors seem to lack. This has been confirmed by the </w:t>
            </w:r>
            <w:r w:rsidR="00CD2541" w:rsidRPr="00CD2541">
              <w:rPr>
                <w:lang w:val="en-GB"/>
              </w:rPr>
              <w:t xml:space="preserve"> </w:t>
            </w:r>
            <w:r w:rsidR="00CD2541">
              <w:rPr>
                <w:lang w:val="en-GB"/>
              </w:rPr>
              <w:t xml:space="preserve">Aquitaine </w:t>
            </w:r>
            <w:r w:rsidR="00CD2541" w:rsidRPr="00CD2541">
              <w:rPr>
                <w:lang w:val="en-GB"/>
              </w:rPr>
              <w:t xml:space="preserve">regional development agency, </w:t>
            </w:r>
            <w:r w:rsidR="00D66599">
              <w:rPr>
                <w:lang w:val="en-GB"/>
              </w:rPr>
              <w:t>which argued that, despi</w:t>
            </w:r>
            <w:r w:rsidR="00534ECF">
              <w:rPr>
                <w:lang w:val="en-GB"/>
              </w:rPr>
              <w:t xml:space="preserve">te the strong maritime dimension of the region, maritime economic activities are not </w:t>
            </w:r>
            <w:r w:rsidR="00CD2541" w:rsidRPr="00CD2541">
              <w:rPr>
                <w:lang w:val="en-GB"/>
              </w:rPr>
              <w:t>organised around any cluster.</w:t>
            </w:r>
            <w:r w:rsidR="00CD2541">
              <w:rPr>
                <w:lang w:val="en-GB"/>
              </w:rPr>
              <w:t xml:space="preserve"> </w:t>
            </w:r>
          </w:p>
          <w:p w:rsidR="00CD2541" w:rsidRDefault="00910DDF" w:rsidP="000E6F22">
            <w:pPr>
              <w:rPr>
                <w:lang w:val="en-GB"/>
              </w:rPr>
            </w:pPr>
            <w:r>
              <w:rPr>
                <w:lang w:val="en-GB"/>
              </w:rPr>
              <w:t>Currently, the possibility to establish a yacht repair cluster (yacht ‘refit’) is being considered by the city of Bordeaux. Since 2010, the port of Bordeaux, together with local SMEs, has been promoting this project</w:t>
            </w:r>
            <w:r w:rsidR="00CD2541">
              <w:rPr>
                <w:rStyle w:val="FootnoteReference"/>
                <w:lang w:val="en-GB"/>
              </w:rPr>
              <w:footnoteReference w:id="139"/>
            </w:r>
            <w:r>
              <w:rPr>
                <w:lang w:val="en-GB"/>
              </w:rPr>
              <w:t xml:space="preserve">. </w:t>
            </w:r>
          </w:p>
          <w:p w:rsidR="00CD2541" w:rsidRDefault="00CD2541" w:rsidP="000E6F22">
            <w:pPr>
              <w:rPr>
                <w:lang w:val="en-GB"/>
              </w:rPr>
            </w:pPr>
            <w:r>
              <w:rPr>
                <w:lang w:val="en-GB"/>
              </w:rPr>
              <w:t>Arguments in favour of the yacht ‘refit’ project include:</w:t>
            </w:r>
          </w:p>
          <w:p w:rsidR="00CD2541" w:rsidRDefault="00CD2541" w:rsidP="007C2E30">
            <w:pPr>
              <w:pStyle w:val="ListParagraph"/>
              <w:numPr>
                <w:ilvl w:val="0"/>
                <w:numId w:val="54"/>
              </w:numPr>
              <w:rPr>
                <w:lang w:val="en-GB"/>
              </w:rPr>
            </w:pPr>
            <w:r>
              <w:rPr>
                <w:lang w:val="en-GB"/>
              </w:rPr>
              <w:lastRenderedPageBreak/>
              <w:t>The overcapacity of the already existing French ‘refit’ sites;</w:t>
            </w:r>
          </w:p>
          <w:p w:rsidR="00CD2541" w:rsidRDefault="00CD2541" w:rsidP="007C2E30">
            <w:pPr>
              <w:pStyle w:val="ListParagraph"/>
              <w:numPr>
                <w:ilvl w:val="0"/>
                <w:numId w:val="54"/>
              </w:numPr>
              <w:rPr>
                <w:lang w:val="en-GB"/>
              </w:rPr>
            </w:pPr>
            <w:r>
              <w:rPr>
                <w:lang w:val="en-GB"/>
              </w:rPr>
              <w:t>Available infrastructure in the port of Bordeaux;</w:t>
            </w:r>
          </w:p>
          <w:p w:rsidR="00CD2541" w:rsidRDefault="00CD2541" w:rsidP="007C2E30">
            <w:pPr>
              <w:pStyle w:val="ListParagraph"/>
              <w:numPr>
                <w:ilvl w:val="0"/>
                <w:numId w:val="54"/>
              </w:numPr>
              <w:rPr>
                <w:lang w:val="en-GB"/>
              </w:rPr>
            </w:pPr>
            <w:r>
              <w:rPr>
                <w:lang w:val="en-GB"/>
              </w:rPr>
              <w:t xml:space="preserve">The strength </w:t>
            </w:r>
            <w:r w:rsidR="006770D2">
              <w:rPr>
                <w:lang w:val="en-GB"/>
              </w:rPr>
              <w:t>of the y</w:t>
            </w:r>
            <w:r>
              <w:rPr>
                <w:lang w:val="en-GB"/>
              </w:rPr>
              <w:t xml:space="preserve">achting sector in the region, with two major players. </w:t>
            </w:r>
          </w:p>
          <w:p w:rsidR="00CD2541" w:rsidRDefault="00CD2541" w:rsidP="00CD2541">
            <w:pPr>
              <w:rPr>
                <w:lang w:val="en-GB"/>
              </w:rPr>
            </w:pPr>
            <w:r>
              <w:rPr>
                <w:lang w:val="en-GB"/>
              </w:rPr>
              <w:t>However, the project is not likely to be finalised soon. Political cleavages, strict environmental constraints as well as the progressive development of a residential area nearby the potential ‘refit’ site are currently hampering its successful development</w:t>
            </w:r>
            <w:r>
              <w:rPr>
                <w:rStyle w:val="FootnoteReference"/>
                <w:lang w:val="en-GB"/>
              </w:rPr>
              <w:footnoteReference w:id="140"/>
            </w:r>
            <w:r>
              <w:rPr>
                <w:lang w:val="en-GB"/>
              </w:rPr>
              <w:t xml:space="preserve">. </w:t>
            </w:r>
          </w:p>
          <w:p w:rsidR="006770D2" w:rsidRPr="00CD2541" w:rsidRDefault="006770D2" w:rsidP="00CD2541">
            <w:pPr>
              <w:rPr>
                <w:lang w:val="en-GB"/>
              </w:rPr>
            </w:pPr>
            <w:r w:rsidRPr="006770D2">
              <w:rPr>
                <w:lang w:val="en-GB"/>
              </w:rPr>
              <w:t>A limited list of competitiveness clusters can be distinguished in the region, which do not however present a clear maritime dimension. Relevant for Blue Growth is the Aerospace  Valley, a world Competitiveness Cluster established in both Aquitaine and Midi-Pyrénées regions specialised in aeronautics, space and embedded systems. In the city of Toulouse (Midi-Pyrénées region), the Aerospace Valley cluster also deals with open seas and coastal oceanography, territorial management, forecasts of atmospheric chemical content and natural risk management .</w:t>
            </w:r>
          </w:p>
          <w:p w:rsidR="003F1B78" w:rsidRPr="000E6F22" w:rsidRDefault="003F1B78" w:rsidP="00B773C7">
            <w:pPr>
              <w:pStyle w:val="ListParagraph"/>
              <w:numPr>
                <w:ilvl w:val="0"/>
                <w:numId w:val="41"/>
              </w:numPr>
              <w:rPr>
                <w:lang w:val="en-GB"/>
              </w:rPr>
            </w:pPr>
          </w:p>
        </w:tc>
      </w:tr>
    </w:tbl>
    <w:p w:rsidR="000C098B" w:rsidRPr="00EC0540" w:rsidRDefault="000C098B" w:rsidP="00985B03">
      <w:pPr>
        <w:rPr>
          <w:lang w:val="en-GB"/>
        </w:rPr>
        <w:sectPr w:rsidR="000C098B" w:rsidRPr="00EC0540" w:rsidSect="001A4D2F">
          <w:pgSz w:w="16838" w:h="11906" w:orient="landscape"/>
          <w:pgMar w:top="1134" w:right="1387" w:bottom="1134" w:left="1134" w:header="284" w:footer="93" w:gutter="0"/>
          <w:cols w:space="708"/>
          <w:docGrid w:linePitch="360"/>
        </w:sectPr>
      </w:pPr>
    </w:p>
    <w:p w:rsidR="00985B03" w:rsidRDefault="00985B03" w:rsidP="00985B03">
      <w:pPr>
        <w:pStyle w:val="Caption"/>
      </w:pPr>
      <w:r w:rsidRPr="000C0C93">
        <w:lastRenderedPageBreak/>
        <w:t xml:space="preserve">Table </w:t>
      </w:r>
      <w:r>
        <w:t>1</w:t>
      </w:r>
      <w:r w:rsidR="00A472D7">
        <w:t>3</w:t>
      </w:r>
      <w:r w:rsidRPr="000C0C93">
        <w:t xml:space="preserve"> </w:t>
      </w:r>
      <w:r>
        <w:t>– In-depth analysis of clusters</w:t>
      </w:r>
    </w:p>
    <w:tbl>
      <w:tblPr>
        <w:tblStyle w:val="TableGrid"/>
        <w:tblW w:w="0" w:type="auto"/>
        <w:tblLook w:val="04A0" w:firstRow="1" w:lastRow="0" w:firstColumn="1" w:lastColumn="0" w:noHBand="0" w:noVBand="1"/>
      </w:tblPr>
      <w:tblGrid>
        <w:gridCol w:w="1705"/>
        <w:gridCol w:w="1704"/>
        <w:gridCol w:w="2229"/>
        <w:gridCol w:w="1960"/>
        <w:gridCol w:w="2077"/>
        <w:gridCol w:w="2210"/>
        <w:gridCol w:w="2648"/>
      </w:tblGrid>
      <w:tr w:rsidR="00C15FBE" w:rsidRPr="00EC0540" w:rsidTr="000D4363">
        <w:tc>
          <w:tcPr>
            <w:tcW w:w="1705" w:type="dxa"/>
            <w:vMerge w:val="restart"/>
            <w:shd w:val="clear" w:color="auto" w:fill="DBE5F1" w:themeFill="accent1" w:themeFillTint="33"/>
            <w:vAlign w:val="center"/>
          </w:tcPr>
          <w:p w:rsidR="00985B03" w:rsidRPr="00F87564" w:rsidRDefault="00985B03" w:rsidP="004E2A4F">
            <w:pPr>
              <w:jc w:val="center"/>
              <w:rPr>
                <w:b/>
                <w:lang w:val="en-GB"/>
              </w:rPr>
            </w:pPr>
          </w:p>
        </w:tc>
        <w:tc>
          <w:tcPr>
            <w:tcW w:w="1704" w:type="dxa"/>
            <w:vMerge w:val="restart"/>
            <w:shd w:val="clear" w:color="auto" w:fill="DBE5F1" w:themeFill="accent1" w:themeFillTint="33"/>
            <w:vAlign w:val="center"/>
          </w:tcPr>
          <w:p w:rsidR="00985B03" w:rsidRPr="00F87564" w:rsidRDefault="00985B03" w:rsidP="004E2A4F">
            <w:pPr>
              <w:jc w:val="center"/>
              <w:rPr>
                <w:b/>
                <w:lang w:val="en-GB"/>
              </w:rPr>
            </w:pPr>
            <w:r w:rsidRPr="00F87564">
              <w:rPr>
                <w:b/>
                <w:lang w:val="en-GB"/>
              </w:rPr>
              <w:t>EU Member State</w:t>
            </w:r>
          </w:p>
        </w:tc>
        <w:tc>
          <w:tcPr>
            <w:tcW w:w="2229" w:type="dxa"/>
            <w:vMerge w:val="restart"/>
            <w:shd w:val="clear" w:color="auto" w:fill="DBE5F1" w:themeFill="accent1" w:themeFillTint="33"/>
            <w:vAlign w:val="center"/>
          </w:tcPr>
          <w:p w:rsidR="00985B03" w:rsidRPr="00F87564" w:rsidRDefault="00985B03" w:rsidP="004E2A4F">
            <w:pPr>
              <w:jc w:val="center"/>
              <w:rPr>
                <w:b/>
                <w:lang w:val="en-GB"/>
              </w:rPr>
            </w:pPr>
            <w:r w:rsidRPr="00F87564">
              <w:rPr>
                <w:b/>
                <w:lang w:val="en-GB"/>
              </w:rPr>
              <w:t>Maritime economic activities concerned</w:t>
            </w:r>
          </w:p>
        </w:tc>
        <w:tc>
          <w:tcPr>
            <w:tcW w:w="4037" w:type="dxa"/>
            <w:gridSpan w:val="2"/>
            <w:tcBorders>
              <w:bottom w:val="single" w:sz="4" w:space="0" w:color="auto"/>
            </w:tcBorders>
            <w:shd w:val="clear" w:color="auto" w:fill="DBE5F1" w:themeFill="accent1" w:themeFillTint="33"/>
            <w:vAlign w:val="center"/>
          </w:tcPr>
          <w:p w:rsidR="00985B03" w:rsidRPr="00F87564" w:rsidRDefault="00985B03" w:rsidP="004E2A4F">
            <w:pPr>
              <w:jc w:val="center"/>
              <w:rPr>
                <w:b/>
                <w:lang w:val="en-GB"/>
              </w:rPr>
            </w:pPr>
            <w:r w:rsidRPr="00F87564">
              <w:rPr>
                <w:b/>
                <w:lang w:val="en-GB"/>
              </w:rPr>
              <w:t xml:space="preserve">Education policy </w:t>
            </w:r>
          </w:p>
        </w:tc>
        <w:tc>
          <w:tcPr>
            <w:tcW w:w="2210" w:type="dxa"/>
            <w:vMerge w:val="restart"/>
            <w:shd w:val="clear" w:color="auto" w:fill="DBE5F1" w:themeFill="accent1" w:themeFillTint="33"/>
            <w:vAlign w:val="center"/>
          </w:tcPr>
          <w:p w:rsidR="00985B03" w:rsidRPr="00F87564" w:rsidRDefault="00985B03" w:rsidP="004E2A4F">
            <w:pPr>
              <w:jc w:val="center"/>
              <w:rPr>
                <w:b/>
                <w:lang w:val="en-GB"/>
              </w:rPr>
            </w:pPr>
            <w:r w:rsidRPr="00F87564">
              <w:rPr>
                <w:b/>
                <w:lang w:val="en-GB"/>
              </w:rPr>
              <w:t>Unemployment rate at cluster level</w:t>
            </w:r>
            <w:r>
              <w:rPr>
                <w:rStyle w:val="FootnoteReference"/>
                <w:b/>
                <w:lang w:val="en-GB"/>
              </w:rPr>
              <w:footnoteReference w:id="141"/>
            </w:r>
            <w:r w:rsidRPr="00F87564">
              <w:rPr>
                <w:b/>
                <w:lang w:val="en-GB"/>
              </w:rPr>
              <w:t xml:space="preserve"> (NUTS </w:t>
            </w:r>
            <w:r>
              <w:rPr>
                <w:b/>
                <w:lang w:val="en-GB"/>
              </w:rPr>
              <w:t>III or II level</w:t>
            </w:r>
            <w:r w:rsidRPr="00F87564">
              <w:rPr>
                <w:b/>
                <w:lang w:val="en-GB"/>
              </w:rPr>
              <w:t>)</w:t>
            </w:r>
          </w:p>
        </w:tc>
        <w:tc>
          <w:tcPr>
            <w:tcW w:w="2648" w:type="dxa"/>
            <w:vMerge w:val="restart"/>
            <w:shd w:val="clear" w:color="auto" w:fill="DBE5F1" w:themeFill="accent1" w:themeFillTint="33"/>
            <w:vAlign w:val="center"/>
          </w:tcPr>
          <w:p w:rsidR="00985B03" w:rsidRPr="00F87564" w:rsidRDefault="00985B03" w:rsidP="004E2A4F">
            <w:pPr>
              <w:jc w:val="center"/>
              <w:rPr>
                <w:b/>
                <w:lang w:val="en-GB"/>
              </w:rPr>
            </w:pPr>
            <w:r>
              <w:rPr>
                <w:b/>
                <w:lang w:val="en-GB"/>
              </w:rPr>
              <w:t>Ongoing research: m</w:t>
            </w:r>
            <w:r w:rsidRPr="00F87564">
              <w:rPr>
                <w:b/>
                <w:lang w:val="en-GB"/>
              </w:rPr>
              <w:t xml:space="preserve">ain </w:t>
            </w:r>
            <w:r>
              <w:rPr>
                <w:b/>
                <w:lang w:val="en-GB"/>
              </w:rPr>
              <w:t xml:space="preserve">research institutes / </w:t>
            </w:r>
            <w:r w:rsidRPr="00F87564">
              <w:rPr>
                <w:b/>
                <w:lang w:val="en-GB"/>
              </w:rPr>
              <w:t>companies associated to the clusters</w:t>
            </w:r>
          </w:p>
        </w:tc>
      </w:tr>
      <w:tr w:rsidR="00C15FBE" w:rsidRPr="00EC0540" w:rsidTr="000D4363">
        <w:tc>
          <w:tcPr>
            <w:tcW w:w="1705" w:type="dxa"/>
            <w:vMerge/>
            <w:shd w:val="clear" w:color="auto" w:fill="C6D9F1" w:themeFill="text2" w:themeFillTint="33"/>
            <w:vAlign w:val="center"/>
          </w:tcPr>
          <w:p w:rsidR="00985B03" w:rsidRDefault="00985B03" w:rsidP="004E2A4F">
            <w:pPr>
              <w:jc w:val="center"/>
              <w:rPr>
                <w:lang w:val="en-GB"/>
              </w:rPr>
            </w:pPr>
          </w:p>
        </w:tc>
        <w:tc>
          <w:tcPr>
            <w:tcW w:w="1704" w:type="dxa"/>
            <w:vMerge/>
            <w:shd w:val="clear" w:color="auto" w:fill="C6D9F1" w:themeFill="text2" w:themeFillTint="33"/>
            <w:vAlign w:val="center"/>
          </w:tcPr>
          <w:p w:rsidR="00985B03" w:rsidRDefault="00985B03" w:rsidP="004E2A4F">
            <w:pPr>
              <w:jc w:val="center"/>
              <w:rPr>
                <w:lang w:val="en-GB"/>
              </w:rPr>
            </w:pPr>
          </w:p>
        </w:tc>
        <w:tc>
          <w:tcPr>
            <w:tcW w:w="2229" w:type="dxa"/>
            <w:vMerge/>
            <w:shd w:val="clear" w:color="auto" w:fill="C6D9F1" w:themeFill="text2" w:themeFillTint="33"/>
            <w:vAlign w:val="center"/>
          </w:tcPr>
          <w:p w:rsidR="00985B03" w:rsidRDefault="00985B03" w:rsidP="004E2A4F">
            <w:pPr>
              <w:jc w:val="center"/>
              <w:rPr>
                <w:lang w:val="en-GB"/>
              </w:rPr>
            </w:pPr>
          </w:p>
        </w:tc>
        <w:tc>
          <w:tcPr>
            <w:tcW w:w="1960" w:type="dxa"/>
            <w:shd w:val="clear" w:color="auto" w:fill="DBE5F1" w:themeFill="accent1" w:themeFillTint="33"/>
            <w:vAlign w:val="center"/>
          </w:tcPr>
          <w:p w:rsidR="00985B03" w:rsidRPr="00F87564" w:rsidRDefault="00985B03" w:rsidP="004E2A4F">
            <w:pPr>
              <w:jc w:val="center"/>
              <w:rPr>
                <w:b/>
                <w:lang w:val="en-GB"/>
              </w:rPr>
            </w:pPr>
            <w:r w:rsidRPr="00F87564">
              <w:rPr>
                <w:b/>
                <w:lang w:val="en-GB"/>
              </w:rPr>
              <w:t>Number of students in higher education</w:t>
            </w:r>
          </w:p>
        </w:tc>
        <w:tc>
          <w:tcPr>
            <w:tcW w:w="2077" w:type="dxa"/>
            <w:shd w:val="clear" w:color="auto" w:fill="DBE5F1" w:themeFill="accent1" w:themeFillTint="33"/>
            <w:vAlign w:val="center"/>
          </w:tcPr>
          <w:p w:rsidR="00985B03" w:rsidRPr="00F87564" w:rsidRDefault="00985B03" w:rsidP="004E2A4F">
            <w:pPr>
              <w:jc w:val="center"/>
              <w:rPr>
                <w:b/>
                <w:lang w:val="en-GB"/>
              </w:rPr>
            </w:pPr>
            <w:r w:rsidRPr="00F87564">
              <w:rPr>
                <w:b/>
                <w:lang w:val="en-GB"/>
              </w:rPr>
              <w:t>Number of students in higher education following courses for employment in blue economy</w:t>
            </w:r>
          </w:p>
        </w:tc>
        <w:tc>
          <w:tcPr>
            <w:tcW w:w="2210" w:type="dxa"/>
            <w:vMerge/>
            <w:shd w:val="clear" w:color="auto" w:fill="C6D9F1" w:themeFill="text2" w:themeFillTint="33"/>
            <w:vAlign w:val="center"/>
          </w:tcPr>
          <w:p w:rsidR="00985B03" w:rsidRDefault="00985B03" w:rsidP="004E2A4F">
            <w:pPr>
              <w:jc w:val="center"/>
              <w:rPr>
                <w:lang w:val="en-GB"/>
              </w:rPr>
            </w:pPr>
          </w:p>
        </w:tc>
        <w:tc>
          <w:tcPr>
            <w:tcW w:w="2648" w:type="dxa"/>
            <w:vMerge/>
            <w:shd w:val="clear" w:color="auto" w:fill="C6D9F1" w:themeFill="text2" w:themeFillTint="33"/>
            <w:vAlign w:val="center"/>
          </w:tcPr>
          <w:p w:rsidR="00985B03" w:rsidRDefault="00985B03" w:rsidP="004E2A4F">
            <w:pPr>
              <w:jc w:val="center"/>
              <w:rPr>
                <w:lang w:val="en-GB"/>
              </w:rPr>
            </w:pPr>
          </w:p>
        </w:tc>
      </w:tr>
      <w:tr w:rsidR="00C15FBE" w:rsidRPr="00EC0540" w:rsidTr="000D4363">
        <w:tc>
          <w:tcPr>
            <w:tcW w:w="1705" w:type="dxa"/>
            <w:vAlign w:val="center"/>
          </w:tcPr>
          <w:p w:rsidR="00985B03" w:rsidRDefault="000C016A" w:rsidP="004E2A4F">
            <w:pPr>
              <w:jc w:val="center"/>
              <w:rPr>
                <w:lang w:val="en-GB"/>
              </w:rPr>
            </w:pPr>
            <w:r>
              <w:rPr>
                <w:lang w:val="en-GB"/>
              </w:rPr>
              <w:t>Technopôle Brest-Iroise (</w:t>
            </w:r>
            <w:r w:rsidR="000C098B">
              <w:rPr>
                <w:lang w:val="en-GB"/>
              </w:rPr>
              <w:t>Brest</w:t>
            </w:r>
            <w:r>
              <w:rPr>
                <w:lang w:val="en-GB"/>
              </w:rPr>
              <w:t>)</w:t>
            </w:r>
            <w:r w:rsidR="002C721C">
              <w:rPr>
                <w:rStyle w:val="FootnoteReference"/>
                <w:lang w:val="en-GB"/>
              </w:rPr>
              <w:footnoteReference w:id="142"/>
            </w:r>
          </w:p>
        </w:tc>
        <w:tc>
          <w:tcPr>
            <w:tcW w:w="1704" w:type="dxa"/>
            <w:vAlign w:val="center"/>
          </w:tcPr>
          <w:p w:rsidR="00985B03" w:rsidRDefault="000C098B" w:rsidP="004E2A4F">
            <w:pPr>
              <w:jc w:val="center"/>
              <w:rPr>
                <w:lang w:val="en-GB"/>
              </w:rPr>
            </w:pPr>
            <w:r>
              <w:rPr>
                <w:lang w:val="en-GB"/>
              </w:rPr>
              <w:t>FR</w:t>
            </w:r>
          </w:p>
        </w:tc>
        <w:tc>
          <w:tcPr>
            <w:tcW w:w="2229" w:type="dxa"/>
            <w:vAlign w:val="center"/>
          </w:tcPr>
          <w:p w:rsidR="009256E9" w:rsidRDefault="000C098B" w:rsidP="009256E9">
            <w:pPr>
              <w:rPr>
                <w:lang w:val="en-GB"/>
              </w:rPr>
            </w:pPr>
            <w:r>
              <w:rPr>
                <w:lang w:val="en-GB"/>
              </w:rPr>
              <w:t>Maritime Science and Technology</w:t>
            </w:r>
            <w:r w:rsidR="009256E9">
              <w:rPr>
                <w:lang w:val="en-GB"/>
              </w:rPr>
              <w:t xml:space="preserve"> applied to:</w:t>
            </w:r>
          </w:p>
          <w:p w:rsidR="009256E9" w:rsidRPr="009256E9" w:rsidRDefault="009256E9" w:rsidP="009256E9">
            <w:pPr>
              <w:tabs>
                <w:tab w:val="left" w:pos="761"/>
              </w:tabs>
              <w:rPr>
                <w:lang w:val="en-GB"/>
              </w:rPr>
            </w:pPr>
            <w:r>
              <w:rPr>
                <w:lang w:val="en-GB"/>
              </w:rPr>
              <w:t xml:space="preserve">• </w:t>
            </w:r>
            <w:r w:rsidRPr="009256E9">
              <w:rPr>
                <w:lang w:val="en-GB"/>
              </w:rPr>
              <w:t>Coastal protection</w:t>
            </w:r>
          </w:p>
          <w:p w:rsidR="009256E9" w:rsidRPr="009256E9" w:rsidRDefault="009256E9" w:rsidP="009256E9">
            <w:pPr>
              <w:rPr>
                <w:lang w:val="en-GB"/>
              </w:rPr>
            </w:pPr>
            <w:r>
              <w:rPr>
                <w:lang w:val="en-GB"/>
              </w:rPr>
              <w:t xml:space="preserve">• </w:t>
            </w:r>
            <w:r w:rsidRPr="009256E9">
              <w:rPr>
                <w:lang w:val="en-GB"/>
              </w:rPr>
              <w:t>Exploitation of maritime  (i.e. fisheries and aquaculture)resources</w:t>
            </w:r>
          </w:p>
          <w:p w:rsidR="009256E9" w:rsidRPr="009256E9" w:rsidRDefault="009256E9" w:rsidP="009256E9">
            <w:pPr>
              <w:rPr>
                <w:lang w:val="en-GB"/>
              </w:rPr>
            </w:pPr>
            <w:r>
              <w:rPr>
                <w:lang w:val="en-GB"/>
              </w:rPr>
              <w:t xml:space="preserve">• </w:t>
            </w:r>
            <w:r w:rsidRPr="009256E9">
              <w:rPr>
                <w:lang w:val="en-GB"/>
              </w:rPr>
              <w:t xml:space="preserve">Ship building </w:t>
            </w:r>
          </w:p>
          <w:p w:rsidR="009256E9" w:rsidRPr="009256E9" w:rsidRDefault="009256E9" w:rsidP="009256E9">
            <w:pPr>
              <w:rPr>
                <w:lang w:val="en-GB"/>
              </w:rPr>
            </w:pPr>
            <w:r>
              <w:rPr>
                <w:lang w:val="en-GB"/>
              </w:rPr>
              <w:t xml:space="preserve">• </w:t>
            </w:r>
            <w:r w:rsidRPr="009256E9">
              <w:rPr>
                <w:lang w:val="en-GB"/>
              </w:rPr>
              <w:t>Offshore oil and gas</w:t>
            </w:r>
          </w:p>
          <w:p w:rsidR="009256E9" w:rsidRPr="009256E9" w:rsidRDefault="009256E9" w:rsidP="009256E9">
            <w:pPr>
              <w:rPr>
                <w:lang w:val="en-GB"/>
              </w:rPr>
            </w:pPr>
            <w:r>
              <w:rPr>
                <w:lang w:val="en-GB"/>
              </w:rPr>
              <w:t xml:space="preserve">• </w:t>
            </w:r>
            <w:r w:rsidRPr="009256E9">
              <w:rPr>
                <w:lang w:val="en-GB"/>
              </w:rPr>
              <w:t>Ocean renewable energy and offshore wind</w:t>
            </w:r>
          </w:p>
          <w:p w:rsidR="009256E9" w:rsidRPr="009256E9" w:rsidRDefault="009256E9" w:rsidP="009256E9">
            <w:pPr>
              <w:rPr>
                <w:lang w:val="en-GB"/>
              </w:rPr>
            </w:pPr>
            <w:r>
              <w:rPr>
                <w:lang w:val="en-GB"/>
              </w:rPr>
              <w:t xml:space="preserve">• </w:t>
            </w:r>
            <w:r w:rsidRPr="009256E9">
              <w:rPr>
                <w:lang w:val="en-GB"/>
              </w:rPr>
              <w:t>Environmental monitoring</w:t>
            </w:r>
          </w:p>
          <w:p w:rsidR="00985B03" w:rsidRDefault="009256E9" w:rsidP="009256E9">
            <w:pPr>
              <w:rPr>
                <w:lang w:val="en-GB"/>
              </w:rPr>
            </w:pPr>
            <w:r>
              <w:rPr>
                <w:lang w:val="en-GB"/>
              </w:rPr>
              <w:lastRenderedPageBreak/>
              <w:t xml:space="preserve">• </w:t>
            </w:r>
            <w:r w:rsidRPr="009256E9">
              <w:rPr>
                <w:lang w:val="en-GB"/>
              </w:rPr>
              <w:t>Maritime transport</w:t>
            </w:r>
          </w:p>
        </w:tc>
        <w:tc>
          <w:tcPr>
            <w:tcW w:w="1960" w:type="dxa"/>
            <w:vAlign w:val="center"/>
          </w:tcPr>
          <w:p w:rsidR="00985B03" w:rsidRDefault="000C098B" w:rsidP="004A256A">
            <w:pPr>
              <w:rPr>
                <w:lang w:val="en-GB"/>
              </w:rPr>
            </w:pPr>
            <w:r w:rsidRPr="000C098B">
              <w:rPr>
                <w:lang w:val="en-GB"/>
              </w:rPr>
              <w:lastRenderedPageBreak/>
              <w:t>25,578 students among the University, the 8 different graduate schools, Associate Degree (BTS) programs and preparatory classes, the Teachers College (IUFM), the Technical University Institute (IUT) and the Professionalized University Institute (IUP</w:t>
            </w:r>
            <w:r>
              <w:rPr>
                <w:lang w:val="en-GB"/>
              </w:rPr>
              <w:t>)</w:t>
            </w:r>
          </w:p>
        </w:tc>
        <w:tc>
          <w:tcPr>
            <w:tcW w:w="2077" w:type="dxa"/>
            <w:vAlign w:val="center"/>
          </w:tcPr>
          <w:p w:rsidR="00985B03" w:rsidRDefault="001D5246" w:rsidP="001D5246">
            <w:pPr>
              <w:rPr>
                <w:lang w:val="en-GB"/>
              </w:rPr>
            </w:pPr>
            <w:r w:rsidRPr="009256E9">
              <w:rPr>
                <w:lang w:val="en-GB"/>
              </w:rPr>
              <w:t>3 000 graduates per year in maritime-related education and training, one third of them in cont</w:t>
            </w:r>
            <w:r>
              <w:rPr>
                <w:lang w:val="en-GB"/>
              </w:rPr>
              <w:t>inuing professional development</w:t>
            </w:r>
            <w:r w:rsidR="000C098B">
              <w:rPr>
                <w:rStyle w:val="FootnoteReference"/>
                <w:lang w:val="en-GB"/>
              </w:rPr>
              <w:footnoteReference w:id="143"/>
            </w:r>
          </w:p>
        </w:tc>
        <w:tc>
          <w:tcPr>
            <w:tcW w:w="2210" w:type="dxa"/>
            <w:vAlign w:val="center"/>
          </w:tcPr>
          <w:p w:rsidR="00C15FBE" w:rsidRDefault="00C15FBE" w:rsidP="001D5246">
            <w:pPr>
              <w:rPr>
                <w:lang w:val="en-GB"/>
              </w:rPr>
            </w:pPr>
            <w:r w:rsidRPr="009D4B40">
              <w:rPr>
                <w:lang w:val="en-GB"/>
              </w:rPr>
              <w:t xml:space="preserve">6,300 people work in the area, </w:t>
            </w:r>
            <w:r>
              <w:rPr>
                <w:lang w:val="en-GB"/>
              </w:rPr>
              <w:t xml:space="preserve">whereas      </w:t>
            </w:r>
            <w:r w:rsidRPr="009D4B40">
              <w:rPr>
                <w:lang w:val="en-GB"/>
              </w:rPr>
              <w:t xml:space="preserve">2 600 people </w:t>
            </w:r>
            <w:r>
              <w:rPr>
                <w:lang w:val="en-GB"/>
              </w:rPr>
              <w:t xml:space="preserve">work </w:t>
            </w:r>
            <w:r w:rsidRPr="009D4B40">
              <w:rPr>
                <w:lang w:val="en-GB"/>
              </w:rPr>
              <w:t>in</w:t>
            </w:r>
            <w:r>
              <w:rPr>
                <w:lang w:val="en-GB"/>
              </w:rPr>
              <w:t xml:space="preserve"> the</w:t>
            </w:r>
            <w:r w:rsidRPr="009D4B40">
              <w:rPr>
                <w:lang w:val="en-GB"/>
              </w:rPr>
              <w:t xml:space="preserve"> 88 companies</w:t>
            </w:r>
            <w:r>
              <w:rPr>
                <w:lang w:val="en-GB"/>
              </w:rPr>
              <w:t xml:space="preserve"> belonging to the network </w:t>
            </w:r>
          </w:p>
          <w:p w:rsidR="00C15FBE" w:rsidRDefault="00C15FBE" w:rsidP="001D5246">
            <w:pPr>
              <w:rPr>
                <w:lang w:val="en-GB"/>
              </w:rPr>
            </w:pPr>
            <w:r>
              <w:rPr>
                <w:lang w:val="en-GB"/>
              </w:rPr>
              <w:t>Unemployment:</w:t>
            </w:r>
          </w:p>
          <w:p w:rsidR="00C15FBE" w:rsidRDefault="00E609CC" w:rsidP="00B773C7">
            <w:pPr>
              <w:pStyle w:val="ListParagraph"/>
              <w:numPr>
                <w:ilvl w:val="0"/>
                <w:numId w:val="36"/>
              </w:numPr>
              <w:ind w:left="248" w:hanging="248"/>
              <w:rPr>
                <w:lang w:val="en-GB"/>
              </w:rPr>
            </w:pPr>
            <w:r w:rsidRPr="00C15FBE">
              <w:rPr>
                <w:lang w:val="en-GB"/>
              </w:rPr>
              <w:t>NUTS 3 (department of Finistère), end of 2012: 9.2</w:t>
            </w:r>
            <w:r w:rsidR="002C721C">
              <w:rPr>
                <w:rStyle w:val="FootnoteReference"/>
                <w:lang w:val="en-GB"/>
              </w:rPr>
              <w:footnoteReference w:id="144"/>
            </w:r>
          </w:p>
          <w:p w:rsidR="00985B03" w:rsidRPr="00C15FBE" w:rsidRDefault="00E609CC" w:rsidP="00B773C7">
            <w:pPr>
              <w:pStyle w:val="ListParagraph"/>
              <w:numPr>
                <w:ilvl w:val="0"/>
                <w:numId w:val="36"/>
              </w:numPr>
              <w:ind w:left="248" w:hanging="248"/>
              <w:rPr>
                <w:lang w:val="en-GB"/>
              </w:rPr>
            </w:pPr>
            <w:r w:rsidRPr="00C15FBE">
              <w:rPr>
                <w:lang w:val="en-GB"/>
              </w:rPr>
              <w:t xml:space="preserve">NUTS 2 (region of Brittany), end of 2012: </w:t>
            </w:r>
            <w:r w:rsidR="002C721C" w:rsidRPr="00C15FBE">
              <w:rPr>
                <w:lang w:val="en-GB"/>
              </w:rPr>
              <w:t>9%</w:t>
            </w:r>
            <w:r w:rsidR="002C721C">
              <w:rPr>
                <w:rStyle w:val="FootnoteReference"/>
                <w:lang w:val="en-GB"/>
              </w:rPr>
              <w:footnoteReference w:id="145"/>
            </w:r>
          </w:p>
          <w:p w:rsidR="009D4B40" w:rsidRDefault="009D4B40" w:rsidP="001D5246">
            <w:pPr>
              <w:rPr>
                <w:lang w:val="en-GB"/>
              </w:rPr>
            </w:pPr>
          </w:p>
        </w:tc>
        <w:tc>
          <w:tcPr>
            <w:tcW w:w="2648" w:type="dxa"/>
          </w:tcPr>
          <w:p w:rsidR="002C721C" w:rsidRDefault="002C721C" w:rsidP="002C721C">
            <w:pPr>
              <w:rPr>
                <w:lang w:val="en-GB"/>
              </w:rPr>
            </w:pPr>
            <w:r w:rsidRPr="002C721C">
              <w:rPr>
                <w:lang w:val="en-GB"/>
              </w:rPr>
              <w:t>•</w:t>
            </w:r>
            <w:r>
              <w:rPr>
                <w:lang w:val="en-GB"/>
              </w:rPr>
              <w:t xml:space="preserve"> Companies: </w:t>
            </w:r>
          </w:p>
          <w:p w:rsidR="002C721C" w:rsidRPr="002C721C" w:rsidRDefault="002C721C" w:rsidP="002C721C">
            <w:pPr>
              <w:rPr>
                <w:lang w:val="en-GB"/>
              </w:rPr>
            </w:pPr>
            <w:r w:rsidRPr="002C721C">
              <w:rPr>
                <w:lang w:val="en-GB"/>
              </w:rPr>
              <w:t>Thales,</w:t>
            </w:r>
            <w:r>
              <w:rPr>
                <w:lang w:val="en-GB"/>
              </w:rPr>
              <w:t xml:space="preserve"> Cabasse, Ixsea, CLS, Geensys</w:t>
            </w:r>
          </w:p>
          <w:p w:rsidR="002C721C" w:rsidRDefault="002C721C" w:rsidP="002C721C">
            <w:pPr>
              <w:rPr>
                <w:lang w:val="en-GB"/>
              </w:rPr>
            </w:pPr>
            <w:r w:rsidRPr="002C721C">
              <w:rPr>
                <w:lang w:val="en-GB"/>
              </w:rPr>
              <w:t>•</w:t>
            </w:r>
            <w:r>
              <w:rPr>
                <w:lang w:val="en-GB"/>
              </w:rPr>
              <w:t xml:space="preserve"> Research Institutes: </w:t>
            </w:r>
          </w:p>
          <w:p w:rsidR="002C721C" w:rsidRPr="002C721C" w:rsidRDefault="002C721C" w:rsidP="002C721C">
            <w:pPr>
              <w:rPr>
                <w:lang w:val="en-GB"/>
              </w:rPr>
            </w:pPr>
            <w:r w:rsidRPr="002C721C">
              <w:rPr>
                <w:lang w:val="en-GB"/>
              </w:rPr>
              <w:t>Ifremer, Paul Emile Victor Institute</w:t>
            </w:r>
          </w:p>
          <w:p w:rsidR="002C721C" w:rsidRDefault="002C721C" w:rsidP="002C721C">
            <w:pPr>
              <w:rPr>
                <w:lang w:val="en-GB"/>
              </w:rPr>
            </w:pPr>
            <w:r w:rsidRPr="002C721C">
              <w:rPr>
                <w:lang w:val="en-GB"/>
              </w:rPr>
              <w:t>•</w:t>
            </w:r>
            <w:r>
              <w:rPr>
                <w:lang w:val="en-GB"/>
              </w:rPr>
              <w:t xml:space="preserve"> Universities: </w:t>
            </w:r>
          </w:p>
          <w:p w:rsidR="00985B03" w:rsidRDefault="002C721C" w:rsidP="002C721C">
            <w:pPr>
              <w:rPr>
                <w:lang w:val="en-GB"/>
              </w:rPr>
            </w:pPr>
            <w:r w:rsidRPr="002C721C">
              <w:rPr>
                <w:lang w:val="en-GB"/>
              </w:rPr>
              <w:t xml:space="preserve">University of Western Brittany (UBO): European Institute of Marine Studies and the French Graduate Engineering School of Microbiology and Food Safety ; Télécom Bretagne (Graduate Engineering School of </w:t>
            </w:r>
            <w:r w:rsidRPr="002C721C">
              <w:rPr>
                <w:lang w:val="en-GB"/>
              </w:rPr>
              <w:lastRenderedPageBreak/>
              <w:t>Telecommunications) ; National Graduate Engineering School of Brest.</w:t>
            </w:r>
          </w:p>
        </w:tc>
      </w:tr>
      <w:tr w:rsidR="00C15FBE" w:rsidTr="000D4363">
        <w:tc>
          <w:tcPr>
            <w:tcW w:w="1705" w:type="dxa"/>
            <w:vAlign w:val="center"/>
          </w:tcPr>
          <w:p w:rsidR="00985B03" w:rsidRDefault="009256E9" w:rsidP="004E2A4F">
            <w:pPr>
              <w:jc w:val="center"/>
              <w:rPr>
                <w:lang w:val="en-GB"/>
              </w:rPr>
            </w:pPr>
            <w:r>
              <w:rPr>
                <w:lang w:val="en-GB"/>
              </w:rPr>
              <w:lastRenderedPageBreak/>
              <w:t>Pôle-Mer Bretagne</w:t>
            </w:r>
          </w:p>
        </w:tc>
        <w:tc>
          <w:tcPr>
            <w:tcW w:w="1704" w:type="dxa"/>
            <w:vAlign w:val="center"/>
          </w:tcPr>
          <w:p w:rsidR="00985B03" w:rsidRDefault="000C098B" w:rsidP="004E2A4F">
            <w:pPr>
              <w:jc w:val="center"/>
              <w:rPr>
                <w:lang w:val="en-GB"/>
              </w:rPr>
            </w:pPr>
            <w:r>
              <w:rPr>
                <w:lang w:val="en-GB"/>
              </w:rPr>
              <w:t>FR</w:t>
            </w:r>
          </w:p>
        </w:tc>
        <w:tc>
          <w:tcPr>
            <w:tcW w:w="2229" w:type="dxa"/>
            <w:vAlign w:val="center"/>
          </w:tcPr>
          <w:p w:rsidR="009256E9" w:rsidRDefault="009256E9" w:rsidP="00FF2F7C">
            <w:pPr>
              <w:pStyle w:val="ListParagraph"/>
              <w:numPr>
                <w:ilvl w:val="0"/>
                <w:numId w:val="32"/>
              </w:numPr>
              <w:ind w:left="122" w:hanging="122"/>
              <w:rPr>
                <w:lang w:val="en-GB"/>
              </w:rPr>
            </w:pPr>
            <w:r w:rsidRPr="0012488B">
              <w:rPr>
                <w:lang w:val="en-GB"/>
              </w:rPr>
              <w:t>Maritime safety and security</w:t>
            </w:r>
          </w:p>
          <w:p w:rsidR="009256E9" w:rsidRDefault="009256E9" w:rsidP="00FF2F7C">
            <w:pPr>
              <w:pStyle w:val="ListParagraph"/>
              <w:numPr>
                <w:ilvl w:val="0"/>
                <w:numId w:val="32"/>
              </w:numPr>
              <w:ind w:left="122" w:hanging="122"/>
              <w:rPr>
                <w:lang w:val="en-GB"/>
              </w:rPr>
            </w:pPr>
            <w:r w:rsidRPr="0012488B">
              <w:rPr>
                <w:lang w:val="en-GB"/>
              </w:rPr>
              <w:t>Shipbuilding and leisure boatbuilding</w:t>
            </w:r>
          </w:p>
          <w:p w:rsidR="009256E9" w:rsidRDefault="009256E9" w:rsidP="00FF2F7C">
            <w:pPr>
              <w:pStyle w:val="ListParagraph"/>
              <w:numPr>
                <w:ilvl w:val="0"/>
                <w:numId w:val="32"/>
              </w:numPr>
              <w:ind w:left="122" w:hanging="122"/>
              <w:rPr>
                <w:lang w:val="en-GB"/>
              </w:rPr>
            </w:pPr>
            <w:r w:rsidRPr="0012488B">
              <w:rPr>
                <w:lang w:val="en-GB"/>
              </w:rPr>
              <w:t>Marine energy resources</w:t>
            </w:r>
          </w:p>
          <w:p w:rsidR="009256E9" w:rsidRDefault="009256E9" w:rsidP="00FF2F7C">
            <w:pPr>
              <w:pStyle w:val="ListParagraph"/>
              <w:numPr>
                <w:ilvl w:val="0"/>
                <w:numId w:val="32"/>
              </w:numPr>
              <w:ind w:left="122" w:hanging="122"/>
              <w:rPr>
                <w:lang w:val="en-GB"/>
              </w:rPr>
            </w:pPr>
            <w:r w:rsidRPr="0012488B">
              <w:rPr>
                <w:lang w:val="en-GB"/>
              </w:rPr>
              <w:t>Marine biological resources</w:t>
            </w:r>
          </w:p>
          <w:p w:rsidR="00985B03" w:rsidRPr="009256E9" w:rsidRDefault="009256E9" w:rsidP="00FF2F7C">
            <w:pPr>
              <w:pStyle w:val="ListParagraph"/>
              <w:numPr>
                <w:ilvl w:val="0"/>
                <w:numId w:val="32"/>
              </w:numPr>
              <w:ind w:left="122" w:hanging="122"/>
              <w:rPr>
                <w:lang w:val="en-GB"/>
              </w:rPr>
            </w:pPr>
            <w:r w:rsidRPr="009256E9">
              <w:rPr>
                <w:lang w:val="en-GB"/>
              </w:rPr>
              <w:t>Coastal and environmental planning and management</w:t>
            </w:r>
          </w:p>
        </w:tc>
        <w:tc>
          <w:tcPr>
            <w:tcW w:w="1960" w:type="dxa"/>
            <w:vAlign w:val="center"/>
          </w:tcPr>
          <w:p w:rsidR="00985B03" w:rsidRDefault="009256E9" w:rsidP="009256E9">
            <w:pPr>
              <w:rPr>
                <w:lang w:val="en-GB"/>
              </w:rPr>
            </w:pPr>
            <w:r w:rsidRPr="000C098B">
              <w:rPr>
                <w:lang w:val="en-GB"/>
              </w:rPr>
              <w:t>25,578 students among the University, the 8 different graduate schools, Associate Degree (BTS) programs and preparatory classes, the Teachers College (IUFM), the Technical University Institute (IUT) and the Professionalized University Institute (IUP</w:t>
            </w:r>
            <w:r>
              <w:rPr>
                <w:lang w:val="en-GB"/>
              </w:rPr>
              <w:t>)</w:t>
            </w:r>
          </w:p>
        </w:tc>
        <w:tc>
          <w:tcPr>
            <w:tcW w:w="2077" w:type="dxa"/>
            <w:vAlign w:val="center"/>
          </w:tcPr>
          <w:p w:rsidR="00985B03" w:rsidRDefault="009256E9" w:rsidP="009256E9">
            <w:pPr>
              <w:rPr>
                <w:lang w:val="en-GB"/>
              </w:rPr>
            </w:pPr>
            <w:r w:rsidRPr="009256E9">
              <w:rPr>
                <w:lang w:val="en-GB"/>
              </w:rPr>
              <w:t>3 000 graduates per year in maritime-related education and training, one third of them in cont</w:t>
            </w:r>
            <w:r>
              <w:rPr>
                <w:lang w:val="en-GB"/>
              </w:rPr>
              <w:t>inuing professional development</w:t>
            </w:r>
          </w:p>
        </w:tc>
        <w:tc>
          <w:tcPr>
            <w:tcW w:w="2210" w:type="dxa"/>
            <w:vAlign w:val="center"/>
          </w:tcPr>
          <w:p w:rsidR="009D4B40" w:rsidRDefault="009D4B40" w:rsidP="001D5246">
            <w:pPr>
              <w:rPr>
                <w:lang w:val="en-GB"/>
              </w:rPr>
            </w:pPr>
            <w:r>
              <w:rPr>
                <w:lang w:val="en-GB"/>
              </w:rPr>
              <w:t>300 members, 50% of which are SMEs</w:t>
            </w:r>
          </w:p>
          <w:p w:rsidR="00C15FBE" w:rsidRDefault="00C15FBE" w:rsidP="001D5246">
            <w:pPr>
              <w:rPr>
                <w:lang w:val="en-GB"/>
              </w:rPr>
            </w:pPr>
            <w:r>
              <w:rPr>
                <w:lang w:val="en-GB"/>
              </w:rPr>
              <w:t>Unemployment:</w:t>
            </w:r>
          </w:p>
          <w:p w:rsidR="00C15FBE" w:rsidRDefault="009256E9" w:rsidP="00B773C7">
            <w:pPr>
              <w:pStyle w:val="ListParagraph"/>
              <w:numPr>
                <w:ilvl w:val="0"/>
                <w:numId w:val="37"/>
              </w:numPr>
              <w:ind w:left="248" w:hanging="248"/>
              <w:rPr>
                <w:lang w:val="en-GB"/>
              </w:rPr>
            </w:pPr>
            <w:r w:rsidRPr="00C15FBE">
              <w:rPr>
                <w:lang w:val="en-GB"/>
              </w:rPr>
              <w:t>NUTS 3 (department of Finistère), end of 2012: 9.2</w:t>
            </w:r>
            <w:r>
              <w:rPr>
                <w:rStyle w:val="FootnoteReference"/>
                <w:lang w:val="en-GB"/>
              </w:rPr>
              <w:footnoteReference w:id="146"/>
            </w:r>
          </w:p>
          <w:p w:rsidR="00985B03" w:rsidRPr="00C15FBE" w:rsidRDefault="009256E9" w:rsidP="00B773C7">
            <w:pPr>
              <w:pStyle w:val="ListParagraph"/>
              <w:numPr>
                <w:ilvl w:val="0"/>
                <w:numId w:val="37"/>
              </w:numPr>
              <w:ind w:left="248" w:hanging="248"/>
              <w:rPr>
                <w:lang w:val="en-GB"/>
              </w:rPr>
            </w:pPr>
            <w:r w:rsidRPr="00C15FBE">
              <w:rPr>
                <w:lang w:val="en-GB"/>
              </w:rPr>
              <w:t>NUTS 2 (region of Brittany), end of 2012: 9%</w:t>
            </w:r>
            <w:r>
              <w:rPr>
                <w:rStyle w:val="FootnoteReference"/>
                <w:lang w:val="en-GB"/>
              </w:rPr>
              <w:footnoteReference w:id="147"/>
            </w:r>
          </w:p>
          <w:p w:rsidR="00AD2AF3" w:rsidRDefault="00AD2AF3" w:rsidP="001D5246">
            <w:pPr>
              <w:rPr>
                <w:lang w:val="en-GB"/>
              </w:rPr>
            </w:pPr>
          </w:p>
        </w:tc>
        <w:tc>
          <w:tcPr>
            <w:tcW w:w="2648" w:type="dxa"/>
            <w:vAlign w:val="center"/>
          </w:tcPr>
          <w:p w:rsidR="001D5246" w:rsidRDefault="001D5246" w:rsidP="00FF2F7C">
            <w:pPr>
              <w:pStyle w:val="ListParagraph"/>
              <w:numPr>
                <w:ilvl w:val="0"/>
                <w:numId w:val="34"/>
              </w:numPr>
              <w:ind w:left="160" w:hanging="126"/>
              <w:rPr>
                <w:lang w:val="en-GB"/>
              </w:rPr>
            </w:pPr>
            <w:r w:rsidRPr="001D5246">
              <w:rPr>
                <w:lang w:val="en-GB"/>
              </w:rPr>
              <w:t>Companies</w:t>
            </w:r>
          </w:p>
          <w:p w:rsidR="001D5246" w:rsidRDefault="001D5246" w:rsidP="001D5246">
            <w:pPr>
              <w:pStyle w:val="ListParagraph"/>
              <w:ind w:left="160"/>
              <w:rPr>
                <w:lang w:val="en-GB"/>
              </w:rPr>
            </w:pPr>
            <w:r w:rsidRPr="001D5246">
              <w:rPr>
                <w:lang w:val="en-GB"/>
              </w:rPr>
              <w:t>Thalès, Véolia, DCN</w:t>
            </w:r>
          </w:p>
          <w:p w:rsidR="001D5246" w:rsidRPr="001D5246" w:rsidRDefault="001D5246" w:rsidP="001D5246">
            <w:pPr>
              <w:pStyle w:val="ListParagraph"/>
              <w:ind w:left="160"/>
              <w:rPr>
                <w:lang w:val="en-GB"/>
              </w:rPr>
            </w:pPr>
          </w:p>
          <w:p w:rsidR="001D5246" w:rsidRDefault="001D5246" w:rsidP="00FF2F7C">
            <w:pPr>
              <w:pStyle w:val="ListParagraph"/>
              <w:numPr>
                <w:ilvl w:val="0"/>
                <w:numId w:val="34"/>
              </w:numPr>
              <w:ind w:left="160" w:hanging="118"/>
              <w:rPr>
                <w:lang w:val="en-GB"/>
              </w:rPr>
            </w:pPr>
            <w:r>
              <w:rPr>
                <w:lang w:val="en-GB"/>
              </w:rPr>
              <w:t>Research Institutes</w:t>
            </w:r>
          </w:p>
          <w:p w:rsidR="00985B03" w:rsidRPr="00EE6C34" w:rsidRDefault="001D5246" w:rsidP="001D5246">
            <w:pPr>
              <w:pStyle w:val="ListParagraph"/>
              <w:ind w:left="160"/>
            </w:pPr>
            <w:r w:rsidRPr="00EE6C34">
              <w:t xml:space="preserve"> Le Cluster Maritime Français, Agence Nationale de Recherche, BRGM (Bureau de Recherche Géologique et Minières), ENTSB (Ecole Nationale Supérieure de Télécommunications de Bretagne), Ensieta (Ecole Nationale Supérieure de Techniques Avancées de Bretagne) </w:t>
            </w:r>
          </w:p>
        </w:tc>
      </w:tr>
      <w:tr w:rsidR="00C15FBE" w:rsidRPr="00EC0540" w:rsidTr="000D4363">
        <w:tc>
          <w:tcPr>
            <w:tcW w:w="1705" w:type="dxa"/>
            <w:vAlign w:val="center"/>
          </w:tcPr>
          <w:p w:rsidR="00985B03" w:rsidRDefault="00D50D12" w:rsidP="004E2A4F">
            <w:pPr>
              <w:jc w:val="center"/>
              <w:rPr>
                <w:lang w:val="en-GB"/>
              </w:rPr>
            </w:pPr>
            <w:r>
              <w:rPr>
                <w:lang w:val="en-GB"/>
              </w:rPr>
              <w:t>Bretagne Pôle Naval</w:t>
            </w:r>
          </w:p>
        </w:tc>
        <w:tc>
          <w:tcPr>
            <w:tcW w:w="1704" w:type="dxa"/>
            <w:vAlign w:val="center"/>
          </w:tcPr>
          <w:p w:rsidR="00985B03" w:rsidRDefault="00575A02" w:rsidP="004E2A4F">
            <w:pPr>
              <w:jc w:val="center"/>
              <w:rPr>
                <w:lang w:val="en-GB"/>
              </w:rPr>
            </w:pPr>
            <w:r>
              <w:rPr>
                <w:lang w:val="en-GB"/>
              </w:rPr>
              <w:t>FR</w:t>
            </w:r>
          </w:p>
        </w:tc>
        <w:tc>
          <w:tcPr>
            <w:tcW w:w="2229" w:type="dxa"/>
            <w:vAlign w:val="center"/>
          </w:tcPr>
          <w:p w:rsidR="00575A02" w:rsidRPr="00575A02" w:rsidRDefault="00575A02" w:rsidP="00575A02">
            <w:pPr>
              <w:tabs>
                <w:tab w:val="left" w:pos="134"/>
              </w:tabs>
              <w:spacing w:before="0"/>
              <w:rPr>
                <w:lang w:val="en-GB"/>
              </w:rPr>
            </w:pPr>
            <w:r w:rsidRPr="00575A02">
              <w:rPr>
                <w:lang w:val="en-GB"/>
              </w:rPr>
              <w:t>•</w:t>
            </w:r>
            <w:r w:rsidRPr="00575A02">
              <w:rPr>
                <w:lang w:val="en-GB"/>
              </w:rPr>
              <w:tab/>
              <w:t>Naval (shipbuilding,</w:t>
            </w:r>
          </w:p>
          <w:p w:rsidR="00575A02" w:rsidRPr="00575A02" w:rsidRDefault="00575A02" w:rsidP="00575A02">
            <w:pPr>
              <w:spacing w:before="0"/>
              <w:rPr>
                <w:lang w:val="en-GB"/>
              </w:rPr>
            </w:pPr>
            <w:r w:rsidRPr="00575A02">
              <w:rPr>
                <w:lang w:val="en-GB"/>
              </w:rPr>
              <w:t>refit and repair,</w:t>
            </w:r>
          </w:p>
          <w:p w:rsidR="00575A02" w:rsidRPr="00575A02" w:rsidRDefault="00575A02" w:rsidP="00575A02">
            <w:pPr>
              <w:spacing w:before="0"/>
              <w:rPr>
                <w:lang w:val="en-GB"/>
              </w:rPr>
            </w:pPr>
            <w:r w:rsidRPr="00575A02">
              <w:rPr>
                <w:lang w:val="en-GB"/>
              </w:rPr>
              <w:t>maintenance, yachts and leisure boats)</w:t>
            </w:r>
          </w:p>
          <w:p w:rsidR="00575A02" w:rsidRPr="00575A02" w:rsidRDefault="00575A02" w:rsidP="00575A02">
            <w:pPr>
              <w:tabs>
                <w:tab w:val="left" w:pos="134"/>
              </w:tabs>
              <w:spacing w:before="0"/>
              <w:rPr>
                <w:lang w:val="en-GB"/>
              </w:rPr>
            </w:pPr>
            <w:r w:rsidRPr="00575A02">
              <w:rPr>
                <w:lang w:val="en-GB"/>
              </w:rPr>
              <w:t>•</w:t>
            </w:r>
            <w:r w:rsidRPr="00575A02">
              <w:rPr>
                <w:lang w:val="en-GB"/>
              </w:rPr>
              <w:tab/>
              <w:t>Marine renewable energy (tidal, offshore wind, floating offshore wind, wave energy, ocean thermal energy</w:t>
            </w:r>
          </w:p>
          <w:p w:rsidR="00985B03" w:rsidRDefault="00575A02" w:rsidP="00575A02">
            <w:pPr>
              <w:tabs>
                <w:tab w:val="left" w:pos="134"/>
              </w:tabs>
              <w:spacing w:before="0"/>
              <w:rPr>
                <w:lang w:val="en-GB"/>
              </w:rPr>
            </w:pPr>
            <w:r w:rsidRPr="00575A02">
              <w:rPr>
                <w:lang w:val="en-GB"/>
              </w:rPr>
              <w:lastRenderedPageBreak/>
              <w:t>•</w:t>
            </w:r>
            <w:r w:rsidRPr="00575A02">
              <w:rPr>
                <w:lang w:val="en-GB"/>
              </w:rPr>
              <w:tab/>
              <w:t>Offshore oil and gas</w:t>
            </w:r>
          </w:p>
        </w:tc>
        <w:tc>
          <w:tcPr>
            <w:tcW w:w="1960" w:type="dxa"/>
            <w:vAlign w:val="center"/>
          </w:tcPr>
          <w:p w:rsidR="00985B03" w:rsidRDefault="00575A02" w:rsidP="00575A02">
            <w:pPr>
              <w:rPr>
                <w:lang w:val="en-GB"/>
              </w:rPr>
            </w:pPr>
            <w:r w:rsidRPr="00575A02">
              <w:rPr>
                <w:lang w:val="en-GB"/>
              </w:rPr>
              <w:lastRenderedPageBreak/>
              <w:t xml:space="preserve">25,578 students among the University, the 8 different graduate schools, Associate Degree (BTS) programs and preparatory classes, the </w:t>
            </w:r>
            <w:r w:rsidRPr="00575A02">
              <w:rPr>
                <w:lang w:val="en-GB"/>
              </w:rPr>
              <w:lastRenderedPageBreak/>
              <w:t>Teachers College (IUFM), the Technical University Institute (IUT) and the Professionalized University Institute (IUP)</w:t>
            </w:r>
          </w:p>
        </w:tc>
        <w:tc>
          <w:tcPr>
            <w:tcW w:w="2077" w:type="dxa"/>
            <w:vAlign w:val="center"/>
          </w:tcPr>
          <w:p w:rsidR="00985B03" w:rsidRDefault="00575A02" w:rsidP="00575A02">
            <w:pPr>
              <w:rPr>
                <w:lang w:val="en-GB"/>
              </w:rPr>
            </w:pPr>
            <w:r w:rsidRPr="009256E9">
              <w:rPr>
                <w:lang w:val="en-GB"/>
              </w:rPr>
              <w:lastRenderedPageBreak/>
              <w:t>3 000 graduates per year in maritime-related education and training, one third of them in cont</w:t>
            </w:r>
            <w:r>
              <w:rPr>
                <w:lang w:val="en-GB"/>
              </w:rPr>
              <w:t>inuing professional development</w:t>
            </w:r>
          </w:p>
        </w:tc>
        <w:tc>
          <w:tcPr>
            <w:tcW w:w="2210" w:type="dxa"/>
            <w:vAlign w:val="center"/>
          </w:tcPr>
          <w:p w:rsidR="009D4B40" w:rsidRDefault="009D4B40" w:rsidP="00575A02">
            <w:pPr>
              <w:rPr>
                <w:lang w:val="en-GB"/>
              </w:rPr>
            </w:pPr>
            <w:r>
              <w:rPr>
                <w:lang w:val="en-GB"/>
              </w:rPr>
              <w:t>115 enterprises belong to the Pôle Naval’s network, representing around 18.000 jobs</w:t>
            </w:r>
            <w:r w:rsidRPr="00575A02">
              <w:rPr>
                <w:lang w:val="en-GB"/>
              </w:rPr>
              <w:t xml:space="preserve"> </w:t>
            </w:r>
          </w:p>
          <w:p w:rsidR="00C15FBE" w:rsidRDefault="00C15FBE" w:rsidP="00575A02">
            <w:pPr>
              <w:rPr>
                <w:lang w:val="en-GB"/>
              </w:rPr>
            </w:pPr>
            <w:r>
              <w:rPr>
                <w:lang w:val="en-GB"/>
              </w:rPr>
              <w:t>Unemployment (region only):</w:t>
            </w:r>
          </w:p>
          <w:p w:rsidR="00985B03" w:rsidRPr="00C15FBE" w:rsidRDefault="00575A02" w:rsidP="00B773C7">
            <w:pPr>
              <w:pStyle w:val="ListParagraph"/>
              <w:numPr>
                <w:ilvl w:val="0"/>
                <w:numId w:val="38"/>
              </w:numPr>
              <w:ind w:left="248" w:hanging="248"/>
              <w:rPr>
                <w:lang w:val="en-GB"/>
              </w:rPr>
            </w:pPr>
            <w:r w:rsidRPr="00C15FBE">
              <w:rPr>
                <w:lang w:val="en-GB"/>
              </w:rPr>
              <w:t xml:space="preserve">NUTS 2 (region of Brittany), end of </w:t>
            </w:r>
            <w:r w:rsidRPr="00C15FBE">
              <w:rPr>
                <w:lang w:val="en-GB"/>
              </w:rPr>
              <w:lastRenderedPageBreak/>
              <w:t>2012: 9%</w:t>
            </w:r>
          </w:p>
          <w:p w:rsidR="00AC7479" w:rsidRDefault="00AC7479" w:rsidP="00AD2AF3">
            <w:pPr>
              <w:rPr>
                <w:lang w:val="en-GB"/>
              </w:rPr>
            </w:pPr>
          </w:p>
        </w:tc>
        <w:tc>
          <w:tcPr>
            <w:tcW w:w="2648" w:type="dxa"/>
          </w:tcPr>
          <w:p w:rsidR="00985B03" w:rsidRDefault="00F73520" w:rsidP="000D2C78">
            <w:pPr>
              <w:rPr>
                <w:lang w:val="en-GB"/>
              </w:rPr>
            </w:pPr>
            <w:r>
              <w:rPr>
                <w:lang w:val="en-GB"/>
              </w:rPr>
              <w:lastRenderedPageBreak/>
              <w:t>DCNS (shipbluilding and ship repair), CTL (defence shipbuilding), Segula Technologies (</w:t>
            </w:r>
            <w:r w:rsidR="000D2C78">
              <w:rPr>
                <w:lang w:val="en-GB"/>
              </w:rPr>
              <w:t xml:space="preserve">Marine and </w:t>
            </w:r>
            <w:r w:rsidRPr="00F73520">
              <w:rPr>
                <w:lang w:val="en-GB"/>
              </w:rPr>
              <w:t>industry engineering</w:t>
            </w:r>
            <w:r w:rsidR="000D2C78">
              <w:rPr>
                <w:lang w:val="en-GB"/>
              </w:rPr>
              <w:t>), Sofresid (</w:t>
            </w:r>
            <w:r w:rsidR="000D2C78" w:rsidRPr="000D2C78">
              <w:rPr>
                <w:lang w:val="en-GB"/>
              </w:rPr>
              <w:t>Offshore &amp; Onshore engineering</w:t>
            </w:r>
            <w:r w:rsidR="000D2C78">
              <w:rPr>
                <w:lang w:val="en-GB"/>
              </w:rPr>
              <w:t>), Piriou (</w:t>
            </w:r>
            <w:r w:rsidR="000D2C78" w:rsidRPr="000D2C78">
              <w:rPr>
                <w:lang w:val="en-GB"/>
              </w:rPr>
              <w:t>Shipbuilding, repair and marine engineering</w:t>
            </w:r>
            <w:r w:rsidR="000D2C78">
              <w:rPr>
                <w:lang w:val="en-GB"/>
              </w:rPr>
              <w:t xml:space="preserve">), </w:t>
            </w:r>
            <w:r w:rsidR="000D2C78">
              <w:rPr>
                <w:lang w:val="en-GB"/>
              </w:rPr>
              <w:lastRenderedPageBreak/>
              <w:t>SNEF (electrical engineering)</w:t>
            </w:r>
            <w:r w:rsidR="00FF2F7C">
              <w:rPr>
                <w:rStyle w:val="FootnoteReference"/>
                <w:lang w:val="en-GB"/>
              </w:rPr>
              <w:footnoteReference w:id="148"/>
            </w:r>
          </w:p>
        </w:tc>
      </w:tr>
      <w:tr w:rsidR="002630C6" w:rsidRPr="00EC0540" w:rsidTr="000D4363">
        <w:tc>
          <w:tcPr>
            <w:tcW w:w="1705" w:type="dxa"/>
            <w:vAlign w:val="center"/>
          </w:tcPr>
          <w:p w:rsidR="002630C6" w:rsidRDefault="001759A7" w:rsidP="002630C6">
            <w:pPr>
              <w:jc w:val="center"/>
              <w:rPr>
                <w:lang w:val="en-GB"/>
              </w:rPr>
            </w:pPr>
            <w:r>
              <w:rPr>
                <w:lang w:val="en-GB"/>
              </w:rPr>
              <w:lastRenderedPageBreak/>
              <w:t>Bordeau</w:t>
            </w:r>
            <w:r w:rsidR="00A414A4">
              <w:rPr>
                <w:lang w:val="en-GB"/>
              </w:rPr>
              <w:t>x</w:t>
            </w:r>
            <w:r>
              <w:rPr>
                <w:lang w:val="en-GB"/>
              </w:rPr>
              <w:t xml:space="preserve"> Superyacht Refit</w:t>
            </w:r>
          </w:p>
        </w:tc>
        <w:tc>
          <w:tcPr>
            <w:tcW w:w="1704" w:type="dxa"/>
            <w:vAlign w:val="center"/>
          </w:tcPr>
          <w:p w:rsidR="002630C6" w:rsidRDefault="001440C4" w:rsidP="004E2A4F">
            <w:pPr>
              <w:jc w:val="center"/>
              <w:rPr>
                <w:lang w:val="en-GB"/>
              </w:rPr>
            </w:pPr>
            <w:r>
              <w:rPr>
                <w:lang w:val="en-GB"/>
              </w:rPr>
              <w:t>FR</w:t>
            </w:r>
          </w:p>
        </w:tc>
        <w:tc>
          <w:tcPr>
            <w:tcW w:w="2229" w:type="dxa"/>
            <w:vAlign w:val="center"/>
          </w:tcPr>
          <w:p w:rsidR="002630C6" w:rsidRPr="000D4363" w:rsidRDefault="00A414A4" w:rsidP="00B773C7">
            <w:pPr>
              <w:pStyle w:val="ListParagraph"/>
              <w:numPr>
                <w:ilvl w:val="0"/>
                <w:numId w:val="43"/>
              </w:numPr>
              <w:ind w:left="135" w:hanging="135"/>
              <w:rPr>
                <w:lang w:val="en-GB"/>
              </w:rPr>
            </w:pPr>
            <w:r w:rsidRPr="000D4363">
              <w:rPr>
                <w:lang w:val="en-GB"/>
              </w:rPr>
              <w:t>Yacht repair (‘refit’)</w:t>
            </w:r>
          </w:p>
        </w:tc>
        <w:tc>
          <w:tcPr>
            <w:tcW w:w="1960" w:type="dxa"/>
            <w:vAlign w:val="center"/>
          </w:tcPr>
          <w:p w:rsidR="002630C6" w:rsidRDefault="009478A8" w:rsidP="004E2A4F">
            <w:pPr>
              <w:jc w:val="center"/>
              <w:rPr>
                <w:lang w:val="en-GB"/>
              </w:rPr>
            </w:pPr>
            <w:r>
              <w:rPr>
                <w:lang w:val="en-GB"/>
              </w:rPr>
              <w:t>No information has been found on relevant links between the cluster and educational programmes in the city of Bordeaux or in the department of Aquitaine</w:t>
            </w:r>
          </w:p>
        </w:tc>
        <w:tc>
          <w:tcPr>
            <w:tcW w:w="2077" w:type="dxa"/>
            <w:vAlign w:val="center"/>
          </w:tcPr>
          <w:p w:rsidR="002630C6" w:rsidRDefault="009478A8" w:rsidP="009478A8">
            <w:pPr>
              <w:jc w:val="center"/>
              <w:rPr>
                <w:lang w:val="en-GB"/>
              </w:rPr>
            </w:pPr>
            <w:r>
              <w:rPr>
                <w:lang w:val="en-GB"/>
              </w:rPr>
              <w:t xml:space="preserve">Maritime education programmes are available in the University of Bordeaux, although they are not directly linked to the yacht repair sector but more to the </w:t>
            </w:r>
            <w:r w:rsidR="00EE6A33">
              <w:rPr>
                <w:lang w:val="en-GB"/>
              </w:rPr>
              <w:t xml:space="preserve">study of oceans, marine and coastal protection. </w:t>
            </w:r>
          </w:p>
        </w:tc>
        <w:tc>
          <w:tcPr>
            <w:tcW w:w="2210" w:type="dxa"/>
          </w:tcPr>
          <w:p w:rsidR="002630C6" w:rsidRDefault="000B0A69" w:rsidP="00EE6A33">
            <w:pPr>
              <w:rPr>
                <w:lang w:val="en-GB"/>
              </w:rPr>
            </w:pPr>
            <w:r>
              <w:rPr>
                <w:lang w:val="en-GB"/>
              </w:rPr>
              <w:t xml:space="preserve">It is foreseen that the cluster </w:t>
            </w:r>
            <w:r w:rsidR="00EE6A33">
              <w:rPr>
                <w:lang w:val="en-GB"/>
              </w:rPr>
              <w:t>would</w:t>
            </w:r>
            <w:r>
              <w:rPr>
                <w:lang w:val="en-GB"/>
              </w:rPr>
              <w:t xml:space="preserve"> create around 500 employment posts</w:t>
            </w:r>
            <w:r w:rsidR="009478A8">
              <w:rPr>
                <w:lang w:val="en-GB"/>
              </w:rPr>
              <w:t xml:space="preserve"> (both direct and indirect)</w:t>
            </w:r>
            <w:r>
              <w:rPr>
                <w:rStyle w:val="FootnoteReference"/>
                <w:lang w:val="en-GB"/>
              </w:rPr>
              <w:footnoteReference w:id="149"/>
            </w:r>
          </w:p>
        </w:tc>
        <w:tc>
          <w:tcPr>
            <w:tcW w:w="2648" w:type="dxa"/>
          </w:tcPr>
          <w:p w:rsidR="002630C6" w:rsidRPr="000D4363" w:rsidRDefault="009478A8" w:rsidP="009478A8">
            <w:pPr>
              <w:pStyle w:val="ListParagraph"/>
              <w:ind w:left="22"/>
              <w:rPr>
                <w:lang w:val="en-GB"/>
              </w:rPr>
            </w:pPr>
            <w:r>
              <w:rPr>
                <w:lang w:val="en-GB"/>
              </w:rPr>
              <w:t>As n</w:t>
            </w:r>
            <w:r w:rsidR="000B0A69" w:rsidRPr="000B0A69">
              <w:rPr>
                <w:lang w:val="en-GB"/>
              </w:rPr>
              <w:t>o boat has been ‘refitted’ yet</w:t>
            </w:r>
            <w:r>
              <w:rPr>
                <w:lang w:val="en-GB"/>
              </w:rPr>
              <w:t xml:space="preserve">, there aren’t any </w:t>
            </w:r>
            <w:r w:rsidR="00EE6A33">
              <w:rPr>
                <w:lang w:val="en-GB"/>
              </w:rPr>
              <w:t>on-going</w:t>
            </w:r>
            <w:r>
              <w:rPr>
                <w:lang w:val="en-GB"/>
              </w:rPr>
              <w:t xml:space="preserve"> projects</w:t>
            </w:r>
          </w:p>
        </w:tc>
      </w:tr>
    </w:tbl>
    <w:p w:rsidR="00985B03" w:rsidRPr="00EC0540" w:rsidRDefault="00985B03" w:rsidP="00985B03">
      <w:pPr>
        <w:rPr>
          <w:highlight w:val="lightGray"/>
          <w:lang w:val="en-GB"/>
        </w:rPr>
        <w:sectPr w:rsidR="00985B03" w:rsidRPr="00EC0540" w:rsidSect="000C098B">
          <w:pgSz w:w="16838" w:h="11906" w:orient="landscape"/>
          <w:pgMar w:top="1134" w:right="1387" w:bottom="1134" w:left="1134" w:header="284" w:footer="93" w:gutter="0"/>
          <w:cols w:space="708"/>
          <w:docGrid w:linePitch="360"/>
        </w:sectPr>
      </w:pPr>
    </w:p>
    <w:p w:rsidR="00985B03" w:rsidRPr="00EC0540" w:rsidRDefault="00985B03" w:rsidP="00985B03">
      <w:pPr>
        <w:rPr>
          <w:lang w:val="en-GB"/>
        </w:rPr>
      </w:pPr>
      <w:bookmarkStart w:id="53" w:name="_Toc354739381"/>
      <w:bookmarkStart w:id="54" w:name="_Toc354742405"/>
      <w:bookmarkStart w:id="55" w:name="_Toc354742613"/>
    </w:p>
    <w:p w:rsidR="00985B03" w:rsidRDefault="00985B03" w:rsidP="00985B03">
      <w:pPr>
        <w:rPr>
          <w:lang w:val="en-GB"/>
        </w:rPr>
      </w:pPr>
      <w:r>
        <w:rPr>
          <w:lang w:val="en-GB"/>
        </w:rPr>
        <w:t xml:space="preserve">List of </w:t>
      </w:r>
      <w:r w:rsidRPr="009F4946">
        <w:rPr>
          <w:b/>
          <w:lang w:val="en-GB"/>
        </w:rPr>
        <w:t xml:space="preserve">specific regional or national cluster strategy </w:t>
      </w:r>
      <w:r>
        <w:rPr>
          <w:lang w:val="en-GB"/>
        </w:rPr>
        <w:t>in place</w:t>
      </w:r>
    </w:p>
    <w:p w:rsidR="00985B03" w:rsidRDefault="00985B03" w:rsidP="00985B03">
      <w:pPr>
        <w:rPr>
          <w:lang w:val="en-GB"/>
        </w:rPr>
      </w:pPr>
    </w:p>
    <w:p w:rsidR="00985B03" w:rsidRDefault="00985B03" w:rsidP="00985B03">
      <w:pPr>
        <w:pStyle w:val="Caption"/>
      </w:pPr>
      <w:r>
        <w:t>Table 1</w:t>
      </w:r>
      <w:r w:rsidR="00A472D7">
        <w:t>4</w:t>
      </w:r>
      <w:r>
        <w:t xml:space="preserve"> – Regional or national cluster strategy</w:t>
      </w:r>
    </w:p>
    <w:tbl>
      <w:tblPr>
        <w:tblStyle w:val="TableGrid"/>
        <w:tblW w:w="0" w:type="auto"/>
        <w:tblLook w:val="04A0" w:firstRow="1" w:lastRow="0" w:firstColumn="1" w:lastColumn="0" w:noHBand="0" w:noVBand="1"/>
      </w:tblPr>
      <w:tblGrid>
        <w:gridCol w:w="9854"/>
      </w:tblGrid>
      <w:tr w:rsidR="00F74579" w:rsidRPr="00985B03" w:rsidTr="00F74579">
        <w:tc>
          <w:tcPr>
            <w:tcW w:w="9854" w:type="dxa"/>
            <w:shd w:val="clear" w:color="auto" w:fill="C6D9F1" w:themeFill="text2" w:themeFillTint="33"/>
          </w:tcPr>
          <w:p w:rsidR="00F74579" w:rsidRPr="00CD2C69" w:rsidRDefault="00476272" w:rsidP="004E2A4F">
            <w:pPr>
              <w:rPr>
                <w:b/>
                <w:u w:val="single"/>
                <w:lang w:val="en-GB"/>
              </w:rPr>
            </w:pPr>
            <w:r>
              <w:rPr>
                <w:b/>
                <w:u w:val="single"/>
                <w:lang w:val="en-GB"/>
              </w:rPr>
              <w:t>N</w:t>
            </w:r>
            <w:r w:rsidR="00F74579" w:rsidRPr="00CD2C69">
              <w:rPr>
                <w:b/>
                <w:u w:val="single"/>
                <w:lang w:val="en-GB"/>
              </w:rPr>
              <w:t>ational cluster strategy</w:t>
            </w:r>
          </w:p>
        </w:tc>
      </w:tr>
      <w:tr w:rsidR="00F74579" w:rsidRPr="00985B03" w:rsidTr="00F74579">
        <w:tc>
          <w:tcPr>
            <w:tcW w:w="9854" w:type="dxa"/>
            <w:vAlign w:val="center"/>
          </w:tcPr>
          <w:p w:rsidR="00F74579" w:rsidRDefault="00F74579" w:rsidP="00F74579">
            <w:pPr>
              <w:spacing w:before="0"/>
              <w:rPr>
                <w:lang w:val="en-GB"/>
              </w:rPr>
            </w:pPr>
            <w:r w:rsidRPr="00C53C47">
              <w:rPr>
                <w:lang w:val="en-GB"/>
              </w:rPr>
              <w:t>Les Pôles de Compétitivité</w:t>
            </w:r>
            <w:r>
              <w:rPr>
                <w:rStyle w:val="FootnoteReference"/>
                <w:lang w:val="en-GB"/>
              </w:rPr>
              <w:footnoteReference w:id="150"/>
            </w:r>
          </w:p>
          <w:p w:rsidR="00F74579" w:rsidRPr="00C53C47" w:rsidRDefault="00F74579" w:rsidP="00F74579">
            <w:pPr>
              <w:spacing w:before="0"/>
              <w:rPr>
                <w:lang w:val="en-GB"/>
              </w:rPr>
            </w:pPr>
          </w:p>
        </w:tc>
      </w:tr>
      <w:tr w:rsidR="00F74579" w:rsidRPr="00EC0540" w:rsidTr="00F74579">
        <w:tc>
          <w:tcPr>
            <w:tcW w:w="9854" w:type="dxa"/>
            <w:shd w:val="clear" w:color="auto" w:fill="C6D9F1" w:themeFill="text2" w:themeFillTint="33"/>
          </w:tcPr>
          <w:p w:rsidR="00F74579" w:rsidRPr="00CD2C69" w:rsidRDefault="00F74579" w:rsidP="004326EA">
            <w:pPr>
              <w:rPr>
                <w:b/>
                <w:u w:val="single"/>
                <w:lang w:val="en-GB"/>
              </w:rPr>
            </w:pPr>
            <w:r w:rsidRPr="00CD2C69">
              <w:rPr>
                <w:b/>
                <w:u w:val="single"/>
                <w:lang w:val="en-GB"/>
              </w:rPr>
              <w:t>Brief description of main objectives and features</w:t>
            </w:r>
          </w:p>
        </w:tc>
      </w:tr>
      <w:tr w:rsidR="004326EA" w:rsidRPr="00EC0540" w:rsidTr="004326EA">
        <w:tc>
          <w:tcPr>
            <w:tcW w:w="9854" w:type="dxa"/>
          </w:tcPr>
          <w:p w:rsidR="004326EA" w:rsidRPr="004326EA" w:rsidRDefault="004326EA" w:rsidP="00681F07">
            <w:pPr>
              <w:rPr>
                <w:lang w:val="en-GB"/>
              </w:rPr>
            </w:pPr>
            <w:r w:rsidRPr="004326EA">
              <w:rPr>
                <w:lang w:val="en-GB"/>
              </w:rPr>
              <w:t xml:space="preserve">In order to boost French industrial competitiveness, the 2005 Finance Act creates the concept of ‘competitiveness clusters’. The main objective of such national cluster policy was to make the French economy more competitive, fight against relocations, create jobs, and create private-public synergies. After a specific public tender launched between 2004 and 2005, 66 out of 105 projects are retained. </w:t>
            </w:r>
            <w:r w:rsidR="00681F07" w:rsidRPr="00681F07">
              <w:rPr>
                <w:lang w:val="en-GB"/>
              </w:rPr>
              <w:t>The funding comes in various</w:t>
            </w:r>
            <w:r w:rsidR="00681F07">
              <w:rPr>
                <w:lang w:val="en-GB"/>
              </w:rPr>
              <w:t xml:space="preserve"> </w:t>
            </w:r>
            <w:r w:rsidR="00681F07" w:rsidRPr="00681F07">
              <w:rPr>
                <w:lang w:val="en-GB"/>
              </w:rPr>
              <w:t>forms including research and development grants</w:t>
            </w:r>
            <w:r w:rsidR="00681F07">
              <w:rPr>
                <w:lang w:val="en-GB"/>
              </w:rPr>
              <w:t xml:space="preserve"> </w:t>
            </w:r>
            <w:r w:rsidR="00681F07" w:rsidRPr="00681F07">
              <w:rPr>
                <w:lang w:val="en-GB"/>
              </w:rPr>
              <w:t>and relief on specific tax and social charges.</w:t>
            </w:r>
          </w:p>
          <w:p w:rsidR="004326EA" w:rsidRPr="004326EA" w:rsidRDefault="004326EA" w:rsidP="004326EA">
            <w:pPr>
              <w:rPr>
                <w:lang w:val="en-GB"/>
              </w:rPr>
            </w:pPr>
            <w:r w:rsidRPr="004326EA">
              <w:rPr>
                <w:lang w:val="en-GB"/>
              </w:rPr>
              <w:t>In 2010, one could count 71 clusters divided into three categories: 7 ‘global’ clusters, 11 ‘global vocation’ clusters, and 53 ‘national’ clusters. In total, 9,000 researchers work on around 1000 projects. Since 2005, 889 R&amp;D projects have received €1.7 billion in public-sector financing, of which €1.1 billion was provided by the State. These projects, amounting to some €4.4 billion in R&amp;D expenditure, involved nearly 15,000 researchers.</w:t>
            </w:r>
          </w:p>
          <w:p w:rsidR="004326EA" w:rsidRPr="004326EA" w:rsidRDefault="004326EA" w:rsidP="004326EA">
            <w:pPr>
              <w:rPr>
                <w:lang w:val="en-GB"/>
              </w:rPr>
            </w:pPr>
            <w:r w:rsidRPr="004326EA">
              <w:rPr>
                <w:lang w:val="en-GB"/>
              </w:rPr>
              <w:t xml:space="preserve">The goal of competitiveness clusters is to build on synergies and innovative, collaborative projects in order to give partner firms the chance to become first in their fields, both in France and abroad. </w:t>
            </w:r>
          </w:p>
          <w:p w:rsidR="004326EA" w:rsidRPr="004326EA" w:rsidRDefault="004326EA" w:rsidP="004326EA">
            <w:pPr>
              <w:rPr>
                <w:lang w:val="en-GB"/>
              </w:rPr>
            </w:pPr>
            <w:r w:rsidRPr="004326EA">
              <w:rPr>
                <w:lang w:val="en-GB"/>
              </w:rPr>
              <w:t>The role of competitiveness clusters is to boost the competiveness of the French economy and to help develop growth and jobs in key markets, by :</w:t>
            </w:r>
          </w:p>
          <w:p w:rsidR="004326EA" w:rsidRPr="004326EA" w:rsidRDefault="004326EA" w:rsidP="004326EA">
            <w:pPr>
              <w:rPr>
                <w:lang w:val="en-GB"/>
              </w:rPr>
            </w:pPr>
            <w:r w:rsidRPr="004326EA">
              <w:rPr>
                <w:lang w:val="en-GB"/>
              </w:rPr>
              <w:t>• accelerating innovation efforts</w:t>
            </w:r>
          </w:p>
          <w:p w:rsidR="004326EA" w:rsidRPr="004326EA" w:rsidRDefault="004326EA" w:rsidP="004326EA">
            <w:pPr>
              <w:rPr>
                <w:lang w:val="en-GB"/>
              </w:rPr>
            </w:pPr>
            <w:r w:rsidRPr="004326EA">
              <w:rPr>
                <w:lang w:val="en-GB"/>
              </w:rPr>
              <w:t>• providing support for high-tech and creative activities, primarily industrial, in the various regions</w:t>
            </w:r>
          </w:p>
          <w:p w:rsidR="004326EA" w:rsidRPr="004326EA" w:rsidRDefault="004326EA" w:rsidP="004326EA">
            <w:pPr>
              <w:rPr>
                <w:lang w:val="en-GB"/>
              </w:rPr>
            </w:pPr>
            <w:r w:rsidRPr="004326EA">
              <w:rPr>
                <w:lang w:val="en-GB"/>
              </w:rPr>
              <w:t>of France</w:t>
            </w:r>
          </w:p>
          <w:p w:rsidR="004326EA" w:rsidRPr="004326EA" w:rsidRDefault="004326EA" w:rsidP="004326EA">
            <w:pPr>
              <w:rPr>
                <w:lang w:val="en-GB"/>
              </w:rPr>
            </w:pPr>
            <w:r w:rsidRPr="004326EA">
              <w:rPr>
                <w:lang w:val="en-GB"/>
              </w:rPr>
              <w:t>• improving the attractiveness of France via greater international visibility</w:t>
            </w:r>
          </w:p>
          <w:p w:rsidR="004326EA" w:rsidRPr="004326EA" w:rsidRDefault="004326EA" w:rsidP="004326EA">
            <w:pPr>
              <w:rPr>
                <w:lang w:val="en-GB"/>
              </w:rPr>
            </w:pPr>
            <w:r w:rsidRPr="004326EA">
              <w:rPr>
                <w:lang w:val="en-GB"/>
              </w:rPr>
              <w:t>Cluster strategy: each cluster draws up a five-year strategic plan based on the shared vision of various participants. This allows the cluster to :</w:t>
            </w:r>
          </w:p>
          <w:p w:rsidR="004326EA" w:rsidRPr="004326EA" w:rsidRDefault="004326EA" w:rsidP="004326EA">
            <w:pPr>
              <w:rPr>
                <w:lang w:val="en-GB"/>
              </w:rPr>
            </w:pPr>
            <w:r w:rsidRPr="004326EA">
              <w:rPr>
                <w:lang w:val="en-GB"/>
              </w:rPr>
              <w:t>• establish partnerships between participants with recognized, complementary skills</w:t>
            </w:r>
          </w:p>
          <w:p w:rsidR="004326EA" w:rsidRPr="004326EA" w:rsidRDefault="004326EA" w:rsidP="004326EA">
            <w:pPr>
              <w:rPr>
                <w:lang w:val="en-GB"/>
              </w:rPr>
            </w:pPr>
            <w:r w:rsidRPr="004326EA">
              <w:rPr>
                <w:lang w:val="en-GB"/>
              </w:rPr>
              <w:t>• set up collaborative R&amp;D projects, as well as structuring projects such as innovation platforms that can benefit from public subsidies</w:t>
            </w:r>
          </w:p>
          <w:p w:rsidR="004326EA" w:rsidRPr="004326EA" w:rsidRDefault="004326EA" w:rsidP="004326EA">
            <w:pPr>
              <w:rPr>
                <w:lang w:val="en-GB"/>
              </w:rPr>
            </w:pPr>
            <w:r w:rsidRPr="004326EA">
              <w:rPr>
                <w:lang w:val="en-GB"/>
              </w:rPr>
              <w:t>• promote an overall environment that fosters both innovation and growth among the cluster's members. This is done by providing leadership, exchange and support for members in areas such as private funding for firms, industrial property, forward-looking management of jobs and needs for new skills and qualifications, developing international technological partnerships, regional synergies, etc.</w:t>
            </w:r>
          </w:p>
          <w:p w:rsidR="004326EA" w:rsidRPr="004326EA" w:rsidRDefault="004326EA" w:rsidP="004326EA">
            <w:pPr>
              <w:rPr>
                <w:lang w:val="en-GB"/>
              </w:rPr>
            </w:pPr>
            <w:r w:rsidRPr="004326EA">
              <w:rPr>
                <w:lang w:val="en-GB"/>
              </w:rPr>
              <w:t>Resulting from local initiatives, competitiveness clusters are currently active in most activity sectors. These include emerging technologies (nanotechnology, biotechnology, eco-technology,</w:t>
            </w:r>
          </w:p>
          <w:p w:rsidR="004326EA" w:rsidRDefault="004326EA" w:rsidP="004326EA">
            <w:pPr>
              <w:rPr>
                <w:u w:val="single"/>
                <w:lang w:val="en-GB"/>
              </w:rPr>
            </w:pPr>
            <w:r w:rsidRPr="004326EA">
              <w:rPr>
                <w:lang w:val="en-GB"/>
              </w:rPr>
              <w:t>etc.) as well as more mature sectors (automotive, aerospace, etc.).</w:t>
            </w:r>
          </w:p>
        </w:tc>
      </w:tr>
    </w:tbl>
    <w:p w:rsidR="00985B03" w:rsidRPr="00CD2C69" w:rsidRDefault="00985B03" w:rsidP="00985B03">
      <w:pPr>
        <w:rPr>
          <w:u w:val="single"/>
          <w:lang w:val="en-GB"/>
        </w:rPr>
      </w:pPr>
    </w:p>
    <w:p w:rsidR="00985B03" w:rsidRPr="000C0C93" w:rsidRDefault="00985B03" w:rsidP="00FF2F7C">
      <w:pPr>
        <w:pStyle w:val="Heading1"/>
        <w:numPr>
          <w:ilvl w:val="0"/>
          <w:numId w:val="8"/>
        </w:numPr>
        <w:ind w:left="720"/>
      </w:pPr>
      <w:bookmarkStart w:id="56" w:name="_Toc361219273"/>
      <w:bookmarkStart w:id="57" w:name="_Toc362508167"/>
      <w:bookmarkStart w:id="58" w:name="_Toc365035157"/>
      <w:bookmarkStart w:id="59" w:name="_Toc369887017"/>
      <w:r w:rsidRPr="000C0C93">
        <w:lastRenderedPageBreak/>
        <w:t>Analys</w:t>
      </w:r>
      <w:r>
        <w:t>is of</w:t>
      </w:r>
      <w:r w:rsidRPr="000C0C93">
        <w:t xml:space="preserve"> </w:t>
      </w:r>
      <w:r>
        <w:t xml:space="preserve">measures, policies and strategies </w:t>
      </w:r>
      <w:bookmarkEnd w:id="53"/>
      <w:bookmarkEnd w:id="54"/>
      <w:bookmarkEnd w:id="55"/>
      <w:r>
        <w:t>to stimulate growth and good practices in the sea-basin</w:t>
      </w:r>
      <w:bookmarkEnd w:id="56"/>
      <w:bookmarkEnd w:id="57"/>
      <w:bookmarkEnd w:id="58"/>
      <w:bookmarkEnd w:id="59"/>
    </w:p>
    <w:p w:rsidR="00985B03" w:rsidRDefault="00985B03" w:rsidP="00985B03">
      <w:pPr>
        <w:shd w:val="clear" w:color="auto" w:fill="FFFFFF" w:themeFill="background1"/>
        <w:rPr>
          <w:lang w:val="en-GB"/>
        </w:rPr>
      </w:pPr>
      <w:r w:rsidRPr="002E377D">
        <w:rPr>
          <w:lang w:val="en-GB"/>
        </w:rPr>
        <w:t xml:space="preserve">The policy evaluation </w:t>
      </w:r>
      <w:r w:rsidR="00EC1D17">
        <w:rPr>
          <w:lang w:val="en-GB"/>
        </w:rPr>
        <w:t>below</w:t>
      </w:r>
      <w:r>
        <w:rPr>
          <w:lang w:val="en-GB"/>
        </w:rPr>
        <w:t xml:space="preserve"> </w:t>
      </w:r>
      <w:r w:rsidRPr="002E377D">
        <w:rPr>
          <w:lang w:val="en-GB"/>
        </w:rPr>
        <w:t>is carried out at national level - NUTS 0, 1 or regional level NUTS 2 (depending on the individual level on which the maritime policy decision-making competency is residing</w:t>
      </w:r>
      <w:r>
        <w:rPr>
          <w:lang w:val="en-GB"/>
        </w:rPr>
        <w:t>)</w:t>
      </w:r>
      <w:r>
        <w:rPr>
          <w:rStyle w:val="FootnoteReference"/>
          <w:lang w:val="en-GB"/>
        </w:rPr>
        <w:footnoteReference w:id="151"/>
      </w:r>
      <w:r>
        <w:rPr>
          <w:lang w:val="en-GB"/>
        </w:rPr>
        <w:t xml:space="preserve"> </w:t>
      </w:r>
    </w:p>
    <w:p w:rsidR="00985B03" w:rsidRPr="002E377D" w:rsidRDefault="00985B03" w:rsidP="00985B03">
      <w:pPr>
        <w:shd w:val="clear" w:color="auto" w:fill="FFFFFF" w:themeFill="background1"/>
        <w:rPr>
          <w:lang w:val="en-GB"/>
        </w:rPr>
      </w:pPr>
      <w:r w:rsidRPr="002E377D">
        <w:rPr>
          <w:lang w:val="en-GB"/>
        </w:rPr>
        <w:t>The evaluation</w:t>
      </w:r>
      <w:r w:rsidR="003F12BA">
        <w:rPr>
          <w:lang w:val="en-GB"/>
        </w:rPr>
        <w:t xml:space="preserve"> assesses policies at national and </w:t>
      </w:r>
      <w:r w:rsidRPr="002E377D">
        <w:rPr>
          <w:lang w:val="en-GB"/>
        </w:rPr>
        <w:t xml:space="preserve">regional level including those that are perceived to favour sustainable maritime growth. Besides, the rationale on what renders such measures effective </w:t>
      </w:r>
      <w:r>
        <w:rPr>
          <w:lang w:val="en-GB"/>
        </w:rPr>
        <w:t xml:space="preserve">will be provided (see table 16), </w:t>
      </w:r>
      <w:r w:rsidRPr="002E377D">
        <w:rPr>
          <w:lang w:val="en-GB"/>
        </w:rPr>
        <w:t xml:space="preserve">focusing on legal/regulatory or financial measures. </w:t>
      </w:r>
    </w:p>
    <w:p w:rsidR="00985B03" w:rsidRDefault="00985B03" w:rsidP="00985B03">
      <w:pPr>
        <w:shd w:val="clear" w:color="auto" w:fill="FFFFFF" w:themeFill="background1"/>
        <w:rPr>
          <w:lang w:val="en-GB"/>
        </w:rPr>
      </w:pPr>
      <w:r>
        <w:rPr>
          <w:lang w:val="en-GB"/>
        </w:rPr>
        <w:t xml:space="preserve">The analysis is comprised of two interlinked analysis: </w:t>
      </w:r>
    </w:p>
    <w:p w:rsidR="00985B03" w:rsidRDefault="00985B03" w:rsidP="00985B03">
      <w:pPr>
        <w:shd w:val="clear" w:color="auto" w:fill="FFFFFF" w:themeFill="background1"/>
        <w:rPr>
          <w:lang w:val="en-GB"/>
        </w:rPr>
      </w:pPr>
      <w:r>
        <w:rPr>
          <w:lang w:val="en-GB"/>
        </w:rPr>
        <w:t xml:space="preserve">Table 16 provides an overview of maritime policies (national, regional) and assesses their impact. </w:t>
      </w:r>
    </w:p>
    <w:p w:rsidR="00985B03" w:rsidRDefault="00985B03" w:rsidP="00985B03">
      <w:pPr>
        <w:rPr>
          <w:lang w:val="en-GB"/>
        </w:rPr>
      </w:pPr>
      <w:r>
        <w:rPr>
          <w:lang w:val="en-GB"/>
        </w:rPr>
        <w:t xml:space="preserve">Table 17 concludes with good practices derived from these maritime and generic policies. It identifies examples of good practice in one or more Member States that other countries and regions can follow. IT is completed based on the assessment of the country expert with overall supervision of the core team of the study. </w:t>
      </w:r>
    </w:p>
    <w:p w:rsidR="005038E8" w:rsidRDefault="005038E8" w:rsidP="00985B03">
      <w:pPr>
        <w:rPr>
          <w:lang w:val="en-GB"/>
        </w:rPr>
        <w:sectPr w:rsidR="005038E8" w:rsidSect="000138C7">
          <w:pgSz w:w="11906" w:h="16838"/>
          <w:pgMar w:top="1387" w:right="1134" w:bottom="1134" w:left="1134" w:header="284" w:footer="93" w:gutter="0"/>
          <w:cols w:space="708"/>
          <w:docGrid w:linePitch="360"/>
        </w:sectPr>
      </w:pPr>
    </w:p>
    <w:p w:rsidR="00985B03" w:rsidRPr="00CD2C69" w:rsidRDefault="00985B03" w:rsidP="00985B03">
      <w:pPr>
        <w:pStyle w:val="Caption"/>
      </w:pPr>
      <w:r w:rsidRPr="00CD2C69">
        <w:lastRenderedPageBreak/>
        <w:t>Table 1</w:t>
      </w:r>
      <w:r>
        <w:t>6</w:t>
      </w:r>
      <w:r w:rsidRPr="00CD2C69">
        <w:t xml:space="preserve"> – Assessment of maritime and generic policies</w:t>
      </w:r>
    </w:p>
    <w:tbl>
      <w:tblPr>
        <w:tblW w:w="15735" w:type="dxa"/>
        <w:tblInd w:w="-601" w:type="dxa"/>
        <w:tblLayout w:type="fixed"/>
        <w:tblLook w:val="04A0" w:firstRow="1" w:lastRow="0" w:firstColumn="1" w:lastColumn="0" w:noHBand="0" w:noVBand="1"/>
      </w:tblPr>
      <w:tblGrid>
        <w:gridCol w:w="1135"/>
        <w:gridCol w:w="2268"/>
        <w:gridCol w:w="2693"/>
        <w:gridCol w:w="3685"/>
        <w:gridCol w:w="2127"/>
        <w:gridCol w:w="1842"/>
        <w:gridCol w:w="1985"/>
      </w:tblGrid>
      <w:tr w:rsidR="005038E8" w:rsidRPr="00EC0540" w:rsidTr="00C26C05">
        <w:trPr>
          <w:trHeight w:val="454"/>
        </w:trPr>
        <w:tc>
          <w:tcPr>
            <w:tcW w:w="113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5B03" w:rsidRPr="005611D8" w:rsidRDefault="00985B03" w:rsidP="004E2A4F">
            <w:pPr>
              <w:jc w:val="center"/>
              <w:rPr>
                <w:rFonts w:eastAsia="Times New Roman"/>
                <w:b/>
                <w:bCs/>
                <w:color w:val="000000"/>
                <w:sz w:val="20"/>
                <w:szCs w:val="20"/>
                <w:lang w:val="en-GB" w:eastAsia="en-GB"/>
              </w:rPr>
            </w:pPr>
            <w:r w:rsidRPr="005611D8">
              <w:rPr>
                <w:rFonts w:eastAsia="Times New Roman"/>
                <w:b/>
                <w:bCs/>
                <w:color w:val="000000"/>
                <w:sz w:val="20"/>
                <w:szCs w:val="20"/>
                <w:lang w:val="en-GB" w:eastAsia="en-GB"/>
              </w:rPr>
              <w:t>Policy</w:t>
            </w:r>
          </w:p>
        </w:tc>
        <w:tc>
          <w:tcPr>
            <w:tcW w:w="2268" w:type="dxa"/>
            <w:tcBorders>
              <w:top w:val="single" w:sz="4" w:space="0" w:color="auto"/>
              <w:left w:val="single" w:sz="4" w:space="0" w:color="auto"/>
              <w:bottom w:val="single" w:sz="4" w:space="0" w:color="auto"/>
              <w:right w:val="single" w:sz="4" w:space="0" w:color="auto"/>
            </w:tcBorders>
            <w:shd w:val="clear" w:color="000000" w:fill="DBE5F1"/>
            <w:vAlign w:val="center"/>
          </w:tcPr>
          <w:p w:rsidR="00985B03" w:rsidRPr="005611D8" w:rsidRDefault="00985B03" w:rsidP="004E2A4F">
            <w:pPr>
              <w:jc w:val="center"/>
              <w:rPr>
                <w:rFonts w:eastAsia="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Objectives</w:t>
            </w:r>
          </w:p>
        </w:tc>
        <w:tc>
          <w:tcPr>
            <w:tcW w:w="2693" w:type="dxa"/>
            <w:tcBorders>
              <w:top w:val="single" w:sz="4" w:space="0" w:color="auto"/>
              <w:left w:val="single" w:sz="4" w:space="0" w:color="auto"/>
              <w:bottom w:val="single" w:sz="4" w:space="0" w:color="auto"/>
              <w:right w:val="single" w:sz="4" w:space="0" w:color="auto"/>
            </w:tcBorders>
            <w:shd w:val="clear" w:color="000000" w:fill="DBE5F1"/>
            <w:vAlign w:val="center"/>
          </w:tcPr>
          <w:p w:rsidR="00985B03" w:rsidRPr="005611D8" w:rsidRDefault="00985B03" w:rsidP="004E2A4F">
            <w:pPr>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Priorities</w:t>
            </w:r>
          </w:p>
        </w:tc>
        <w:tc>
          <w:tcPr>
            <w:tcW w:w="3685" w:type="dxa"/>
            <w:tcBorders>
              <w:top w:val="single" w:sz="4" w:space="0" w:color="auto"/>
              <w:left w:val="single" w:sz="4" w:space="0" w:color="auto"/>
              <w:bottom w:val="single" w:sz="4" w:space="0" w:color="auto"/>
              <w:right w:val="single" w:sz="4" w:space="0" w:color="auto"/>
            </w:tcBorders>
            <w:shd w:val="clear" w:color="000000" w:fill="DBE5F1"/>
            <w:vAlign w:val="center"/>
          </w:tcPr>
          <w:p w:rsidR="00985B03" w:rsidRPr="005611D8" w:rsidRDefault="00985B03" w:rsidP="004E2A4F">
            <w:pPr>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Consequences for maritime activities</w:t>
            </w:r>
          </w:p>
        </w:tc>
        <w:tc>
          <w:tcPr>
            <w:tcW w:w="2127" w:type="dxa"/>
            <w:tcBorders>
              <w:top w:val="single" w:sz="4" w:space="0" w:color="auto"/>
              <w:left w:val="single" w:sz="4" w:space="0" w:color="auto"/>
              <w:bottom w:val="single" w:sz="4" w:space="0" w:color="auto"/>
              <w:right w:val="single" w:sz="4" w:space="0" w:color="auto"/>
            </w:tcBorders>
            <w:shd w:val="clear" w:color="000000" w:fill="DBE5F1"/>
            <w:vAlign w:val="center"/>
          </w:tcPr>
          <w:p w:rsidR="00985B03" w:rsidRPr="005611D8" w:rsidRDefault="00985B03" w:rsidP="004E2A4F">
            <w:pPr>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Impacts on sustainable growth</w:t>
            </w:r>
          </w:p>
        </w:tc>
        <w:tc>
          <w:tcPr>
            <w:tcW w:w="1842" w:type="dxa"/>
            <w:tcBorders>
              <w:top w:val="single" w:sz="4" w:space="0" w:color="auto"/>
              <w:left w:val="single" w:sz="4" w:space="0" w:color="auto"/>
              <w:bottom w:val="single" w:sz="4" w:space="0" w:color="auto"/>
              <w:right w:val="single" w:sz="4" w:space="0" w:color="auto"/>
            </w:tcBorders>
            <w:shd w:val="clear" w:color="000000" w:fill="DBE5F1"/>
            <w:vAlign w:val="center"/>
          </w:tcPr>
          <w:p w:rsidR="00985B03" w:rsidRPr="005611D8" w:rsidRDefault="00985B03" w:rsidP="004E2A4F">
            <w:pPr>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Investment and funding</w:t>
            </w:r>
          </w:p>
        </w:tc>
        <w:tc>
          <w:tcPr>
            <w:tcW w:w="1985" w:type="dxa"/>
            <w:tcBorders>
              <w:top w:val="single" w:sz="4" w:space="0" w:color="auto"/>
              <w:left w:val="single" w:sz="4" w:space="0" w:color="auto"/>
              <w:bottom w:val="single" w:sz="4" w:space="0" w:color="auto"/>
              <w:right w:val="single" w:sz="4" w:space="0" w:color="auto"/>
            </w:tcBorders>
            <w:shd w:val="clear" w:color="000000" w:fill="DBE5F1"/>
            <w:vAlign w:val="center"/>
          </w:tcPr>
          <w:p w:rsidR="00985B03" w:rsidRDefault="00985B03" w:rsidP="004E2A4F">
            <w:pPr>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Other generic policies with high impact on maritime economic activities</w:t>
            </w:r>
          </w:p>
        </w:tc>
      </w:tr>
      <w:tr w:rsidR="005038E8" w:rsidRPr="00EC0540" w:rsidTr="00C26C05">
        <w:trPr>
          <w:trHeight w:val="20"/>
        </w:trPr>
        <w:tc>
          <w:tcPr>
            <w:tcW w:w="1135" w:type="dxa"/>
            <w:tcBorders>
              <w:top w:val="nil"/>
              <w:left w:val="single" w:sz="4" w:space="0" w:color="auto"/>
              <w:bottom w:val="single" w:sz="4" w:space="0" w:color="auto"/>
              <w:right w:val="single" w:sz="4" w:space="0" w:color="auto"/>
            </w:tcBorders>
            <w:shd w:val="clear" w:color="auto" w:fill="FFFFFF" w:themeFill="background1"/>
            <w:vAlign w:val="center"/>
          </w:tcPr>
          <w:p w:rsidR="00985B03" w:rsidRPr="005611D8" w:rsidRDefault="005038E8" w:rsidP="004E2A4F">
            <w:pPr>
              <w:jc w:val="center"/>
              <w:rPr>
                <w:rFonts w:eastAsia="Times New Roman"/>
                <w:color w:val="000000"/>
                <w:sz w:val="20"/>
                <w:szCs w:val="20"/>
                <w:lang w:val="en-GB" w:eastAsia="en-GB"/>
              </w:rPr>
            </w:pPr>
            <w:r>
              <w:rPr>
                <w:rFonts w:eastAsia="Times New Roman"/>
                <w:color w:val="000000"/>
                <w:sz w:val="20"/>
                <w:szCs w:val="20"/>
                <w:lang w:val="en-GB" w:eastAsia="en-GB"/>
              </w:rPr>
              <w:t>Grenelle de la Mer</w:t>
            </w:r>
            <w:r w:rsidR="0047269B">
              <w:rPr>
                <w:rFonts w:eastAsia="Times New Roman"/>
                <w:color w:val="000000"/>
                <w:sz w:val="20"/>
                <w:szCs w:val="20"/>
                <w:lang w:val="en-GB" w:eastAsia="en-GB"/>
              </w:rPr>
              <w:t xml:space="preserve"> (National strategy for the Seas and the Oceans)</w:t>
            </w:r>
            <w:r w:rsidR="004B381A">
              <w:rPr>
                <w:rStyle w:val="FootnoteReference"/>
                <w:rFonts w:eastAsia="Times New Roman"/>
                <w:color w:val="000000"/>
                <w:sz w:val="20"/>
                <w:szCs w:val="20"/>
                <w:lang w:val="en-GB" w:eastAsia="en-GB"/>
              </w:rPr>
              <w:footnoteReference w:id="152"/>
            </w:r>
          </w:p>
        </w:tc>
        <w:tc>
          <w:tcPr>
            <w:tcW w:w="2268" w:type="dxa"/>
            <w:tcBorders>
              <w:top w:val="nil"/>
              <w:left w:val="nil"/>
              <w:bottom w:val="single" w:sz="4" w:space="0" w:color="auto"/>
              <w:right w:val="single" w:sz="4" w:space="0" w:color="auto"/>
            </w:tcBorders>
            <w:shd w:val="clear" w:color="auto" w:fill="FFFFFF" w:themeFill="background1"/>
            <w:vAlign w:val="center"/>
          </w:tcPr>
          <w:p w:rsidR="0047269B" w:rsidRPr="004B381A" w:rsidRDefault="0047269B" w:rsidP="00B773C7">
            <w:pPr>
              <w:pStyle w:val="ListParagraph"/>
              <w:numPr>
                <w:ilvl w:val="0"/>
                <w:numId w:val="44"/>
              </w:numPr>
              <w:ind w:left="317" w:hanging="283"/>
              <w:jc w:val="left"/>
              <w:rPr>
                <w:rFonts w:eastAsia="Times New Roman"/>
                <w:color w:val="000000"/>
                <w:sz w:val="20"/>
                <w:szCs w:val="20"/>
                <w:lang w:val="en-GB" w:eastAsia="en-GB"/>
              </w:rPr>
            </w:pPr>
            <w:r w:rsidRPr="004B381A">
              <w:rPr>
                <w:rFonts w:eastAsia="Times New Roman"/>
                <w:color w:val="000000"/>
                <w:sz w:val="20"/>
                <w:szCs w:val="20"/>
                <w:lang w:val="en-GB" w:eastAsia="en-GB"/>
              </w:rPr>
              <w:t>Research into and respect for the marine environment;</w:t>
            </w:r>
          </w:p>
          <w:p w:rsidR="0047269B" w:rsidRPr="004B381A" w:rsidRDefault="0047269B" w:rsidP="00B773C7">
            <w:pPr>
              <w:pStyle w:val="ListParagraph"/>
              <w:numPr>
                <w:ilvl w:val="0"/>
                <w:numId w:val="44"/>
              </w:numPr>
              <w:ind w:left="317" w:hanging="283"/>
              <w:jc w:val="left"/>
              <w:rPr>
                <w:rFonts w:eastAsia="Times New Roman"/>
                <w:color w:val="000000"/>
                <w:sz w:val="20"/>
                <w:szCs w:val="20"/>
                <w:lang w:val="en-GB" w:eastAsia="en-GB"/>
              </w:rPr>
            </w:pPr>
            <w:r w:rsidRPr="004B381A">
              <w:rPr>
                <w:rFonts w:eastAsia="Times New Roman"/>
                <w:color w:val="000000"/>
                <w:sz w:val="20"/>
                <w:szCs w:val="20"/>
                <w:lang w:val="en-GB" w:eastAsia="en-GB"/>
              </w:rPr>
              <w:t>Development of a sustainable maritime economy;</w:t>
            </w:r>
          </w:p>
          <w:p w:rsidR="0047269B" w:rsidRPr="004B381A" w:rsidRDefault="0047269B" w:rsidP="00B773C7">
            <w:pPr>
              <w:pStyle w:val="ListParagraph"/>
              <w:numPr>
                <w:ilvl w:val="0"/>
                <w:numId w:val="44"/>
              </w:numPr>
              <w:ind w:left="317" w:hanging="283"/>
              <w:jc w:val="left"/>
              <w:rPr>
                <w:rFonts w:eastAsia="Times New Roman"/>
                <w:color w:val="000000"/>
                <w:sz w:val="20"/>
                <w:szCs w:val="20"/>
                <w:lang w:val="en-GB" w:eastAsia="en-GB"/>
              </w:rPr>
            </w:pPr>
            <w:r w:rsidRPr="004B381A">
              <w:rPr>
                <w:rFonts w:eastAsia="Times New Roman"/>
                <w:color w:val="000000"/>
                <w:sz w:val="20"/>
                <w:szCs w:val="20"/>
                <w:lang w:val="en-GB" w:eastAsia="en-GB"/>
              </w:rPr>
              <w:t>Promotion of the maritime dimension of France’s overseas territory</w:t>
            </w:r>
          </w:p>
          <w:p w:rsidR="0047269B" w:rsidRPr="0047269B" w:rsidRDefault="0047269B" w:rsidP="00B773C7">
            <w:pPr>
              <w:pStyle w:val="ListParagraph"/>
              <w:numPr>
                <w:ilvl w:val="0"/>
                <w:numId w:val="44"/>
              </w:numPr>
              <w:ind w:left="317" w:hanging="283"/>
              <w:jc w:val="left"/>
              <w:rPr>
                <w:rFonts w:eastAsia="Times New Roman"/>
                <w:color w:val="000000"/>
                <w:sz w:val="20"/>
                <w:szCs w:val="20"/>
                <w:lang w:val="en-GB" w:eastAsia="en-GB"/>
              </w:rPr>
            </w:pPr>
            <w:r w:rsidRPr="004B381A">
              <w:rPr>
                <w:rFonts w:eastAsia="Times New Roman"/>
                <w:color w:val="000000"/>
                <w:sz w:val="20"/>
                <w:szCs w:val="20"/>
                <w:lang w:val="en-GB" w:eastAsia="en-GB"/>
              </w:rPr>
              <w:t>Affirmation of France’s place in Europe and the world at large</w:t>
            </w:r>
          </w:p>
        </w:tc>
        <w:tc>
          <w:tcPr>
            <w:tcW w:w="2693" w:type="dxa"/>
            <w:tcBorders>
              <w:top w:val="nil"/>
              <w:left w:val="nil"/>
              <w:bottom w:val="single" w:sz="4" w:space="0" w:color="auto"/>
              <w:right w:val="single" w:sz="4" w:space="0" w:color="auto"/>
            </w:tcBorders>
            <w:shd w:val="clear" w:color="auto" w:fill="FFFFFF" w:themeFill="background1"/>
            <w:vAlign w:val="center"/>
          </w:tcPr>
          <w:p w:rsidR="005038E8" w:rsidRPr="004B381A" w:rsidRDefault="005038E8" w:rsidP="00B773C7">
            <w:pPr>
              <w:pStyle w:val="ListParagraph"/>
              <w:numPr>
                <w:ilvl w:val="0"/>
                <w:numId w:val="45"/>
              </w:numPr>
              <w:ind w:left="317" w:hanging="317"/>
              <w:jc w:val="left"/>
              <w:rPr>
                <w:rFonts w:eastAsia="Times New Roman"/>
                <w:color w:val="000000"/>
                <w:sz w:val="20"/>
                <w:szCs w:val="20"/>
                <w:lang w:val="en-GB" w:eastAsia="en-GB"/>
              </w:rPr>
            </w:pPr>
            <w:r w:rsidRPr="004B381A">
              <w:rPr>
                <w:sz w:val="20"/>
                <w:szCs w:val="20"/>
                <w:lang w:val="en-GB"/>
              </w:rPr>
              <w:t>Research and innovation</w:t>
            </w:r>
          </w:p>
          <w:p w:rsidR="005038E8" w:rsidRPr="004B381A" w:rsidRDefault="005038E8" w:rsidP="00B773C7">
            <w:pPr>
              <w:pStyle w:val="ListParagraph"/>
              <w:numPr>
                <w:ilvl w:val="0"/>
                <w:numId w:val="45"/>
              </w:numPr>
              <w:ind w:left="303" w:hanging="303"/>
              <w:jc w:val="left"/>
              <w:rPr>
                <w:rFonts w:eastAsia="Times New Roman"/>
                <w:color w:val="000000"/>
                <w:sz w:val="20"/>
                <w:szCs w:val="20"/>
                <w:lang w:val="en-GB" w:eastAsia="en-GB"/>
              </w:rPr>
            </w:pPr>
            <w:r w:rsidRPr="004B381A">
              <w:rPr>
                <w:sz w:val="20"/>
                <w:szCs w:val="20"/>
                <w:lang w:val="en-GB"/>
              </w:rPr>
              <w:t>Protection and development of coastal and marine areas</w:t>
            </w:r>
          </w:p>
          <w:p w:rsidR="005038E8" w:rsidRPr="004B381A" w:rsidRDefault="005038E8" w:rsidP="00B773C7">
            <w:pPr>
              <w:pStyle w:val="ListParagraph"/>
              <w:numPr>
                <w:ilvl w:val="0"/>
                <w:numId w:val="45"/>
              </w:numPr>
              <w:ind w:left="303" w:hanging="303"/>
              <w:jc w:val="left"/>
              <w:rPr>
                <w:rFonts w:eastAsia="Times New Roman"/>
                <w:color w:val="000000"/>
                <w:sz w:val="20"/>
                <w:szCs w:val="20"/>
                <w:lang w:val="en-GB" w:eastAsia="en-GB"/>
              </w:rPr>
            </w:pPr>
            <w:r w:rsidRPr="004B381A">
              <w:rPr>
                <w:sz w:val="20"/>
                <w:szCs w:val="20"/>
                <w:lang w:val="en-GB"/>
              </w:rPr>
              <w:t>Protection of marine biodiversity</w:t>
            </w:r>
          </w:p>
          <w:p w:rsidR="005038E8" w:rsidRPr="004B381A" w:rsidRDefault="005038E8" w:rsidP="00B773C7">
            <w:pPr>
              <w:pStyle w:val="ListParagraph"/>
              <w:numPr>
                <w:ilvl w:val="0"/>
                <w:numId w:val="45"/>
              </w:numPr>
              <w:ind w:left="303" w:hanging="303"/>
              <w:jc w:val="left"/>
              <w:rPr>
                <w:rFonts w:eastAsia="Times New Roman"/>
                <w:color w:val="000000"/>
                <w:sz w:val="20"/>
                <w:szCs w:val="20"/>
                <w:lang w:val="en-GB" w:eastAsia="en-GB"/>
              </w:rPr>
            </w:pPr>
            <w:r w:rsidRPr="004B381A">
              <w:rPr>
                <w:sz w:val="20"/>
                <w:szCs w:val="20"/>
                <w:lang w:val="en-GB"/>
              </w:rPr>
              <w:t>Transports, ports and naval industry</w:t>
            </w:r>
          </w:p>
          <w:p w:rsidR="005038E8" w:rsidRPr="004B381A" w:rsidRDefault="005038E8" w:rsidP="00B773C7">
            <w:pPr>
              <w:pStyle w:val="ListParagraph"/>
              <w:numPr>
                <w:ilvl w:val="0"/>
                <w:numId w:val="45"/>
              </w:numPr>
              <w:ind w:left="303" w:hanging="303"/>
              <w:jc w:val="left"/>
              <w:rPr>
                <w:rFonts w:eastAsia="Times New Roman"/>
                <w:color w:val="000000"/>
                <w:sz w:val="20"/>
                <w:szCs w:val="20"/>
                <w:lang w:val="en-GB" w:eastAsia="en-GB"/>
              </w:rPr>
            </w:pPr>
            <w:r w:rsidRPr="004B381A">
              <w:rPr>
                <w:sz w:val="20"/>
                <w:szCs w:val="20"/>
                <w:lang w:val="en-GB"/>
              </w:rPr>
              <w:t>Marine resources other than fisheries</w:t>
            </w:r>
          </w:p>
          <w:p w:rsidR="005038E8" w:rsidRPr="004B381A" w:rsidRDefault="005038E8" w:rsidP="00B773C7">
            <w:pPr>
              <w:pStyle w:val="ListParagraph"/>
              <w:numPr>
                <w:ilvl w:val="0"/>
                <w:numId w:val="45"/>
              </w:numPr>
              <w:ind w:left="303" w:hanging="303"/>
              <w:jc w:val="left"/>
              <w:rPr>
                <w:rFonts w:eastAsia="Times New Roman"/>
                <w:color w:val="000000"/>
                <w:sz w:val="20"/>
                <w:szCs w:val="20"/>
                <w:lang w:val="en-GB" w:eastAsia="en-GB"/>
              </w:rPr>
            </w:pPr>
            <w:r w:rsidRPr="004B381A">
              <w:rPr>
                <w:sz w:val="20"/>
                <w:szCs w:val="20"/>
                <w:lang w:val="en-GB"/>
              </w:rPr>
              <w:t>Tourism, yachting, sport and leisure</w:t>
            </w:r>
          </w:p>
          <w:p w:rsidR="005038E8" w:rsidRPr="004B381A" w:rsidRDefault="005038E8" w:rsidP="00B773C7">
            <w:pPr>
              <w:pStyle w:val="ListParagraph"/>
              <w:numPr>
                <w:ilvl w:val="0"/>
                <w:numId w:val="45"/>
              </w:numPr>
              <w:ind w:left="303" w:hanging="303"/>
              <w:jc w:val="left"/>
              <w:rPr>
                <w:rFonts w:eastAsia="Times New Roman"/>
                <w:color w:val="000000"/>
                <w:sz w:val="20"/>
                <w:szCs w:val="20"/>
                <w:lang w:val="en-GB" w:eastAsia="en-GB"/>
              </w:rPr>
            </w:pPr>
            <w:r w:rsidRPr="004B381A">
              <w:rPr>
                <w:sz w:val="20"/>
                <w:szCs w:val="20"/>
                <w:lang w:val="en-GB"/>
              </w:rPr>
              <w:t>Pollution</w:t>
            </w:r>
          </w:p>
          <w:p w:rsidR="005038E8" w:rsidRPr="004B381A" w:rsidRDefault="005038E8" w:rsidP="00B773C7">
            <w:pPr>
              <w:pStyle w:val="ListParagraph"/>
              <w:numPr>
                <w:ilvl w:val="0"/>
                <w:numId w:val="45"/>
              </w:numPr>
              <w:ind w:left="303" w:hanging="303"/>
              <w:jc w:val="left"/>
              <w:rPr>
                <w:rFonts w:eastAsia="Times New Roman"/>
                <w:color w:val="000000"/>
                <w:sz w:val="20"/>
                <w:szCs w:val="20"/>
                <w:lang w:val="en-GB" w:eastAsia="en-GB"/>
              </w:rPr>
            </w:pPr>
            <w:r w:rsidRPr="004B381A">
              <w:rPr>
                <w:sz w:val="20"/>
                <w:szCs w:val="20"/>
                <w:lang w:val="en-GB"/>
              </w:rPr>
              <w:t>Training, professions</w:t>
            </w:r>
          </w:p>
          <w:p w:rsidR="005038E8" w:rsidRPr="004B381A" w:rsidRDefault="005038E8" w:rsidP="00B773C7">
            <w:pPr>
              <w:pStyle w:val="ListParagraph"/>
              <w:numPr>
                <w:ilvl w:val="0"/>
                <w:numId w:val="45"/>
              </w:numPr>
              <w:ind w:left="303" w:hanging="303"/>
              <w:jc w:val="left"/>
              <w:rPr>
                <w:rFonts w:eastAsia="Times New Roman"/>
                <w:color w:val="000000"/>
                <w:sz w:val="20"/>
                <w:szCs w:val="20"/>
                <w:lang w:val="en-GB" w:eastAsia="en-GB"/>
              </w:rPr>
            </w:pPr>
            <w:r w:rsidRPr="004B381A">
              <w:rPr>
                <w:sz w:val="20"/>
                <w:szCs w:val="20"/>
                <w:lang w:val="en-GB"/>
              </w:rPr>
              <w:t>Public awareness, communication, education</w:t>
            </w:r>
          </w:p>
          <w:p w:rsidR="00985B03" w:rsidRPr="005611D8" w:rsidRDefault="005038E8" w:rsidP="00B773C7">
            <w:pPr>
              <w:pStyle w:val="ListParagraph"/>
              <w:numPr>
                <w:ilvl w:val="0"/>
                <w:numId w:val="45"/>
              </w:numPr>
              <w:ind w:left="303" w:hanging="303"/>
              <w:jc w:val="left"/>
              <w:rPr>
                <w:rFonts w:eastAsia="Times New Roman"/>
                <w:color w:val="000000"/>
                <w:sz w:val="20"/>
                <w:szCs w:val="20"/>
                <w:lang w:val="en-GB" w:eastAsia="en-GB"/>
              </w:rPr>
            </w:pPr>
            <w:r w:rsidRPr="004B381A">
              <w:rPr>
                <w:sz w:val="20"/>
                <w:szCs w:val="20"/>
                <w:lang w:val="en-GB"/>
              </w:rPr>
              <w:t>Governing</w:t>
            </w:r>
          </w:p>
        </w:tc>
        <w:tc>
          <w:tcPr>
            <w:tcW w:w="3685" w:type="dxa"/>
            <w:tcBorders>
              <w:top w:val="nil"/>
              <w:left w:val="nil"/>
              <w:bottom w:val="single" w:sz="4" w:space="0" w:color="auto"/>
              <w:right w:val="single" w:sz="4" w:space="0" w:color="auto"/>
            </w:tcBorders>
            <w:shd w:val="clear" w:color="auto" w:fill="FFFFFF" w:themeFill="background1"/>
          </w:tcPr>
          <w:p w:rsidR="0052324B" w:rsidRDefault="0052324B" w:rsidP="00B773C7">
            <w:pPr>
              <w:pStyle w:val="ListParagraph"/>
              <w:numPr>
                <w:ilvl w:val="0"/>
                <w:numId w:val="46"/>
              </w:numPr>
              <w:ind w:left="318" w:hanging="284"/>
              <w:jc w:val="left"/>
              <w:rPr>
                <w:rFonts w:eastAsia="Times New Roman"/>
                <w:color w:val="000000"/>
                <w:sz w:val="20"/>
                <w:szCs w:val="20"/>
                <w:lang w:val="en-GB" w:eastAsia="en-GB"/>
              </w:rPr>
            </w:pPr>
            <w:r w:rsidRPr="0052324B">
              <w:rPr>
                <w:rFonts w:eastAsia="Times New Roman"/>
                <w:color w:val="000000"/>
                <w:sz w:val="20"/>
                <w:szCs w:val="20"/>
                <w:lang w:val="en-GB" w:eastAsia="en-GB"/>
              </w:rPr>
              <w:t>More resource</w:t>
            </w:r>
            <w:r w:rsidR="00237BEE">
              <w:rPr>
                <w:rFonts w:eastAsia="Times New Roman"/>
                <w:color w:val="000000"/>
                <w:sz w:val="20"/>
                <w:szCs w:val="20"/>
                <w:lang w:val="en-GB" w:eastAsia="en-GB"/>
              </w:rPr>
              <w:t>s</w:t>
            </w:r>
            <w:r w:rsidRPr="0052324B">
              <w:rPr>
                <w:rFonts w:eastAsia="Times New Roman"/>
                <w:color w:val="000000"/>
                <w:sz w:val="20"/>
                <w:szCs w:val="20"/>
                <w:lang w:val="en-GB" w:eastAsia="en-GB"/>
              </w:rPr>
              <w:t xml:space="preserve"> for improved coastal management;</w:t>
            </w:r>
          </w:p>
          <w:p w:rsidR="0052324B" w:rsidRDefault="0052324B" w:rsidP="00B773C7">
            <w:pPr>
              <w:pStyle w:val="ListParagraph"/>
              <w:numPr>
                <w:ilvl w:val="0"/>
                <w:numId w:val="46"/>
              </w:numPr>
              <w:ind w:left="318" w:hanging="284"/>
              <w:jc w:val="left"/>
              <w:rPr>
                <w:rFonts w:eastAsia="Times New Roman"/>
                <w:color w:val="000000"/>
                <w:sz w:val="20"/>
                <w:szCs w:val="20"/>
                <w:lang w:val="en-GB" w:eastAsia="en-GB"/>
              </w:rPr>
            </w:pPr>
            <w:r>
              <w:rPr>
                <w:rFonts w:eastAsia="Times New Roman"/>
                <w:color w:val="000000"/>
                <w:sz w:val="20"/>
                <w:szCs w:val="20"/>
                <w:lang w:val="en-GB" w:eastAsia="en-GB"/>
              </w:rPr>
              <w:t>Setting up of a network of marine protected areas for 10% of oceans by 2012 and 20% by 2020;</w:t>
            </w:r>
          </w:p>
          <w:p w:rsidR="00237BEE" w:rsidRDefault="0052324B" w:rsidP="00B773C7">
            <w:pPr>
              <w:pStyle w:val="ListParagraph"/>
              <w:numPr>
                <w:ilvl w:val="0"/>
                <w:numId w:val="46"/>
              </w:numPr>
              <w:ind w:left="318" w:hanging="284"/>
              <w:jc w:val="left"/>
              <w:rPr>
                <w:rFonts w:eastAsia="Times New Roman"/>
                <w:color w:val="000000"/>
                <w:sz w:val="20"/>
                <w:szCs w:val="20"/>
                <w:lang w:val="en-GB" w:eastAsia="en-GB"/>
              </w:rPr>
            </w:pPr>
            <w:r>
              <w:rPr>
                <w:rFonts w:eastAsia="Times New Roman"/>
                <w:color w:val="000000"/>
                <w:sz w:val="20"/>
                <w:szCs w:val="20"/>
                <w:lang w:val="en-GB" w:eastAsia="en-GB"/>
              </w:rPr>
              <w:t>Reduce</w:t>
            </w:r>
            <w:r w:rsidR="00237BEE">
              <w:rPr>
                <w:rFonts w:eastAsia="Times New Roman"/>
                <w:color w:val="000000"/>
                <w:sz w:val="20"/>
                <w:szCs w:val="20"/>
                <w:lang w:val="en-GB" w:eastAsia="en-GB"/>
              </w:rPr>
              <w:t>d</w:t>
            </w:r>
            <w:r>
              <w:rPr>
                <w:rFonts w:eastAsia="Times New Roman"/>
                <w:color w:val="000000"/>
                <w:sz w:val="20"/>
                <w:szCs w:val="20"/>
                <w:lang w:val="en-GB" w:eastAsia="en-GB"/>
              </w:rPr>
              <w:t xml:space="preserve"> </w:t>
            </w:r>
            <w:r w:rsidR="00683D4B">
              <w:rPr>
                <w:rFonts w:eastAsia="Times New Roman"/>
                <w:color w:val="000000"/>
                <w:sz w:val="20"/>
                <w:szCs w:val="20"/>
                <w:lang w:val="en-GB" w:eastAsia="en-GB"/>
              </w:rPr>
              <w:t>greenhouse</w:t>
            </w:r>
            <w:r>
              <w:rPr>
                <w:rFonts w:eastAsia="Times New Roman"/>
                <w:color w:val="000000"/>
                <w:sz w:val="20"/>
                <w:szCs w:val="20"/>
                <w:lang w:val="en-GB" w:eastAsia="en-GB"/>
              </w:rPr>
              <w:t xml:space="preserve"> gas emissions from maritime transport by 20% by 2020</w:t>
            </w:r>
            <w:r w:rsidR="00237BEE">
              <w:rPr>
                <w:rFonts w:eastAsia="Times New Roman"/>
                <w:color w:val="000000"/>
                <w:sz w:val="20"/>
                <w:szCs w:val="20"/>
                <w:lang w:val="en-GB" w:eastAsia="en-GB"/>
              </w:rPr>
              <w:t>;</w:t>
            </w:r>
          </w:p>
          <w:p w:rsidR="0052324B" w:rsidRDefault="00237BEE" w:rsidP="00B773C7">
            <w:pPr>
              <w:pStyle w:val="ListParagraph"/>
              <w:numPr>
                <w:ilvl w:val="0"/>
                <w:numId w:val="46"/>
              </w:numPr>
              <w:ind w:left="318" w:hanging="284"/>
              <w:jc w:val="left"/>
              <w:rPr>
                <w:rFonts w:eastAsia="Times New Roman"/>
                <w:color w:val="000000"/>
                <w:sz w:val="20"/>
                <w:szCs w:val="20"/>
                <w:lang w:val="en-GB" w:eastAsia="en-GB"/>
              </w:rPr>
            </w:pPr>
            <w:r>
              <w:rPr>
                <w:rFonts w:eastAsia="Times New Roman"/>
                <w:color w:val="000000"/>
                <w:sz w:val="20"/>
                <w:szCs w:val="20"/>
                <w:lang w:val="en-GB" w:eastAsia="en-GB"/>
              </w:rPr>
              <w:t>Development of</w:t>
            </w:r>
            <w:r w:rsidR="00F40091">
              <w:rPr>
                <w:rFonts w:eastAsia="Times New Roman"/>
                <w:color w:val="000000"/>
                <w:sz w:val="20"/>
                <w:szCs w:val="20"/>
                <w:lang w:val="en-GB" w:eastAsia="en-GB"/>
              </w:rPr>
              <w:t xml:space="preserve"> a national ports strategy, reconsider shipbuilding industry</w:t>
            </w:r>
            <w:r w:rsidR="00683D4B">
              <w:rPr>
                <w:rFonts w:eastAsia="Times New Roman"/>
                <w:color w:val="000000"/>
                <w:sz w:val="20"/>
                <w:szCs w:val="20"/>
                <w:lang w:val="en-GB" w:eastAsia="en-GB"/>
              </w:rPr>
              <w:t>;</w:t>
            </w:r>
          </w:p>
          <w:p w:rsidR="00683D4B" w:rsidRDefault="00683D4B" w:rsidP="00B773C7">
            <w:pPr>
              <w:pStyle w:val="ListParagraph"/>
              <w:numPr>
                <w:ilvl w:val="0"/>
                <w:numId w:val="46"/>
              </w:numPr>
              <w:ind w:left="318" w:hanging="284"/>
              <w:jc w:val="left"/>
              <w:rPr>
                <w:rFonts w:eastAsia="Times New Roman"/>
                <w:color w:val="000000"/>
                <w:sz w:val="20"/>
                <w:szCs w:val="20"/>
                <w:lang w:val="en-GB" w:eastAsia="en-GB"/>
              </w:rPr>
            </w:pPr>
            <w:r>
              <w:rPr>
                <w:rFonts w:eastAsia="Times New Roman"/>
                <w:color w:val="000000"/>
                <w:sz w:val="20"/>
                <w:szCs w:val="20"/>
                <w:lang w:val="en-GB" w:eastAsia="en-GB"/>
              </w:rPr>
              <w:t>3% of all energy consumed to be generated from maritime energy by 2020;</w:t>
            </w:r>
          </w:p>
          <w:p w:rsidR="00683D4B" w:rsidRDefault="00683D4B" w:rsidP="00B773C7">
            <w:pPr>
              <w:pStyle w:val="ListParagraph"/>
              <w:numPr>
                <w:ilvl w:val="0"/>
                <w:numId w:val="46"/>
              </w:numPr>
              <w:ind w:left="318" w:hanging="284"/>
              <w:jc w:val="left"/>
              <w:rPr>
                <w:rFonts w:eastAsia="Times New Roman"/>
                <w:color w:val="000000"/>
                <w:sz w:val="20"/>
                <w:szCs w:val="20"/>
                <w:lang w:val="en-GB" w:eastAsia="en-GB"/>
              </w:rPr>
            </w:pPr>
            <w:r>
              <w:rPr>
                <w:rFonts w:eastAsia="Times New Roman"/>
                <w:color w:val="000000"/>
                <w:sz w:val="20"/>
                <w:szCs w:val="20"/>
                <w:lang w:val="en-GB" w:eastAsia="en-GB"/>
              </w:rPr>
              <w:t>Coastal tourism activities to be placed in a sustainable development perspective;</w:t>
            </w:r>
          </w:p>
          <w:p w:rsidR="00683D4B" w:rsidRDefault="00683D4B" w:rsidP="00B773C7">
            <w:pPr>
              <w:pStyle w:val="ListParagraph"/>
              <w:numPr>
                <w:ilvl w:val="0"/>
                <w:numId w:val="46"/>
              </w:numPr>
              <w:ind w:left="318" w:hanging="284"/>
              <w:jc w:val="left"/>
              <w:rPr>
                <w:rFonts w:eastAsia="Times New Roman"/>
                <w:color w:val="000000"/>
                <w:sz w:val="20"/>
                <w:szCs w:val="20"/>
                <w:lang w:val="en-GB" w:eastAsia="en-GB"/>
              </w:rPr>
            </w:pPr>
            <w:r>
              <w:rPr>
                <w:rFonts w:eastAsia="Times New Roman"/>
                <w:color w:val="000000"/>
                <w:sz w:val="20"/>
                <w:szCs w:val="20"/>
                <w:lang w:val="en-GB" w:eastAsia="en-GB"/>
              </w:rPr>
              <w:t>Strengthen the legal framework on pollution, reduce effluents released into oceans, fight against floating waste, se up specific funding;</w:t>
            </w:r>
          </w:p>
          <w:p w:rsidR="00683D4B" w:rsidRDefault="00683D4B" w:rsidP="00B773C7">
            <w:pPr>
              <w:pStyle w:val="ListParagraph"/>
              <w:numPr>
                <w:ilvl w:val="0"/>
                <w:numId w:val="46"/>
              </w:numPr>
              <w:ind w:left="318" w:hanging="284"/>
              <w:jc w:val="left"/>
              <w:rPr>
                <w:rFonts w:eastAsia="Times New Roman"/>
                <w:color w:val="000000"/>
                <w:sz w:val="20"/>
                <w:szCs w:val="20"/>
                <w:lang w:val="en-GB" w:eastAsia="en-GB"/>
              </w:rPr>
            </w:pPr>
            <w:r>
              <w:rPr>
                <w:rFonts w:eastAsia="Times New Roman"/>
                <w:color w:val="000000"/>
                <w:sz w:val="20"/>
                <w:szCs w:val="20"/>
                <w:lang w:val="en-GB" w:eastAsia="en-GB"/>
              </w:rPr>
              <w:t xml:space="preserve">Adapt and structure training programmes, strengthen establishments providing training in </w:t>
            </w:r>
            <w:r>
              <w:rPr>
                <w:rFonts w:eastAsia="Times New Roman"/>
                <w:color w:val="000000"/>
                <w:sz w:val="20"/>
                <w:szCs w:val="20"/>
                <w:lang w:val="en-GB" w:eastAsia="en-GB"/>
              </w:rPr>
              <w:lastRenderedPageBreak/>
              <w:t>seafaring occupations and encourage synergies;</w:t>
            </w:r>
          </w:p>
          <w:p w:rsidR="00683D4B" w:rsidRPr="00237BEE" w:rsidRDefault="00683D4B" w:rsidP="00237BEE">
            <w:pPr>
              <w:ind w:left="34"/>
              <w:jc w:val="left"/>
              <w:rPr>
                <w:rFonts w:eastAsia="Times New Roman"/>
                <w:color w:val="000000"/>
                <w:sz w:val="20"/>
                <w:szCs w:val="20"/>
                <w:lang w:val="en-GB" w:eastAsia="en-GB"/>
              </w:rPr>
            </w:pPr>
          </w:p>
        </w:tc>
        <w:tc>
          <w:tcPr>
            <w:tcW w:w="2127" w:type="dxa"/>
            <w:tcBorders>
              <w:top w:val="nil"/>
              <w:left w:val="nil"/>
              <w:bottom w:val="single" w:sz="4" w:space="0" w:color="auto"/>
              <w:right w:val="single" w:sz="4" w:space="0" w:color="auto"/>
            </w:tcBorders>
            <w:shd w:val="clear" w:color="auto" w:fill="FFFFFF" w:themeFill="background1"/>
          </w:tcPr>
          <w:p w:rsidR="00985B03" w:rsidRPr="0052324B" w:rsidRDefault="00466389" w:rsidP="00466389">
            <w:pPr>
              <w:pStyle w:val="ListParagraph"/>
              <w:ind w:left="33"/>
              <w:jc w:val="left"/>
              <w:rPr>
                <w:rFonts w:eastAsia="Times New Roman"/>
                <w:color w:val="000000"/>
                <w:sz w:val="20"/>
                <w:szCs w:val="20"/>
                <w:lang w:val="en-GB" w:eastAsia="en-GB"/>
              </w:rPr>
            </w:pPr>
            <w:r>
              <w:rPr>
                <w:rFonts w:eastAsia="Times New Roman"/>
                <w:color w:val="000000"/>
                <w:sz w:val="20"/>
                <w:szCs w:val="20"/>
                <w:lang w:val="en-GB" w:eastAsia="en-GB"/>
              </w:rPr>
              <w:lastRenderedPageBreak/>
              <w:t xml:space="preserve">It is not yet possible to assess the impact of the ‘Grenelle de la Mer’ policy on sustainable growth. </w:t>
            </w:r>
            <w:r w:rsidR="00237BEE">
              <w:rPr>
                <w:rFonts w:eastAsia="Times New Roman"/>
                <w:color w:val="000000"/>
                <w:sz w:val="20"/>
                <w:szCs w:val="20"/>
                <w:lang w:val="en-GB" w:eastAsia="en-GB"/>
              </w:rPr>
              <w:t>The policy has not yet been the o</w:t>
            </w:r>
            <w:r>
              <w:rPr>
                <w:rFonts w:eastAsia="Times New Roman"/>
                <w:color w:val="000000"/>
                <w:sz w:val="20"/>
                <w:szCs w:val="20"/>
                <w:lang w:val="en-GB" w:eastAsia="en-GB"/>
              </w:rPr>
              <w:t>bject of an overall evaluation. The last publicly available progress report</w:t>
            </w:r>
            <w:r>
              <w:rPr>
                <w:rStyle w:val="FootnoteReference"/>
                <w:rFonts w:eastAsia="Times New Roman"/>
                <w:color w:val="000000"/>
                <w:sz w:val="20"/>
                <w:szCs w:val="20"/>
                <w:lang w:val="en-GB" w:eastAsia="en-GB"/>
              </w:rPr>
              <w:footnoteReference w:id="153"/>
            </w:r>
            <w:r>
              <w:rPr>
                <w:rFonts w:eastAsia="Times New Roman"/>
                <w:color w:val="000000"/>
                <w:sz w:val="20"/>
                <w:szCs w:val="20"/>
                <w:lang w:val="en-GB" w:eastAsia="en-GB"/>
              </w:rPr>
              <w:t xml:space="preserve"> (March 2012) refers to several on-going projects, launching of funding mechanisms, creation of supporting agencies, development of ad hoc strategies. However, their impact on sustainable growth is not yet visible.  </w:t>
            </w:r>
          </w:p>
        </w:tc>
        <w:tc>
          <w:tcPr>
            <w:tcW w:w="1842" w:type="dxa"/>
            <w:tcBorders>
              <w:top w:val="nil"/>
              <w:left w:val="nil"/>
              <w:bottom w:val="single" w:sz="4" w:space="0" w:color="auto"/>
              <w:right w:val="single" w:sz="4" w:space="0" w:color="auto"/>
            </w:tcBorders>
            <w:shd w:val="clear" w:color="auto" w:fill="FFFFFF" w:themeFill="background1"/>
            <w:vAlign w:val="center"/>
          </w:tcPr>
          <w:p w:rsidR="00985B03" w:rsidRDefault="006B1CDB" w:rsidP="006B1CDB">
            <w:pPr>
              <w:jc w:val="left"/>
              <w:rPr>
                <w:rFonts w:eastAsia="Times New Roman"/>
                <w:color w:val="000000"/>
                <w:sz w:val="20"/>
                <w:szCs w:val="20"/>
                <w:lang w:val="en-GB" w:eastAsia="en-GB"/>
              </w:rPr>
            </w:pPr>
            <w:r>
              <w:rPr>
                <w:rFonts w:eastAsia="Times New Roman"/>
                <w:color w:val="000000"/>
                <w:sz w:val="20"/>
                <w:szCs w:val="20"/>
                <w:lang w:val="en-GB" w:eastAsia="en-GB"/>
              </w:rPr>
              <w:t>Desk research has not revealed the overall budget of the policy. However, investment levels for certain specific policies and initiatives are hereafter reported:</w:t>
            </w:r>
          </w:p>
          <w:p w:rsidR="004F0695" w:rsidRPr="00EC0540" w:rsidRDefault="004F0695" w:rsidP="004F0695">
            <w:pPr>
              <w:pStyle w:val="ListParagraph"/>
              <w:numPr>
                <w:ilvl w:val="0"/>
                <w:numId w:val="41"/>
              </w:numPr>
              <w:ind w:left="176" w:hanging="176"/>
              <w:jc w:val="left"/>
              <w:rPr>
                <w:rStyle w:val="st1"/>
                <w:rFonts w:eastAsia="Times New Roman" w:cstheme="minorHAnsi"/>
                <w:sz w:val="20"/>
                <w:szCs w:val="20"/>
                <w:lang w:eastAsia="en-GB"/>
              </w:rPr>
            </w:pPr>
            <w:r w:rsidRPr="00EC0540">
              <w:rPr>
                <w:rFonts w:eastAsia="Times New Roman" w:cstheme="minorHAnsi"/>
                <w:sz w:val="20"/>
                <w:szCs w:val="20"/>
                <w:lang w:eastAsia="en-GB"/>
              </w:rPr>
              <w:t>Industrial programme ‘Navire du futur’: 100 M</w:t>
            </w:r>
            <w:r w:rsidRPr="004F0695">
              <w:rPr>
                <w:rStyle w:val="st1"/>
                <w:rFonts w:cstheme="minorHAnsi"/>
                <w:sz w:val="20"/>
                <w:szCs w:val="20"/>
              </w:rPr>
              <w:t>€ ;</w:t>
            </w:r>
          </w:p>
          <w:p w:rsidR="004F0695" w:rsidRPr="004F0695" w:rsidRDefault="004F0695" w:rsidP="004F0695">
            <w:pPr>
              <w:pStyle w:val="ListParagraph"/>
              <w:numPr>
                <w:ilvl w:val="0"/>
                <w:numId w:val="41"/>
              </w:numPr>
              <w:ind w:left="176" w:hanging="142"/>
              <w:jc w:val="left"/>
              <w:rPr>
                <w:rStyle w:val="st1"/>
                <w:rFonts w:eastAsia="Times New Roman" w:cstheme="minorHAnsi"/>
                <w:sz w:val="20"/>
                <w:szCs w:val="20"/>
                <w:lang w:val="en-GB" w:eastAsia="en-GB"/>
              </w:rPr>
            </w:pPr>
            <w:r w:rsidRPr="00EC0540">
              <w:rPr>
                <w:rStyle w:val="st1"/>
                <w:rFonts w:cstheme="minorHAnsi"/>
                <w:sz w:val="20"/>
                <w:szCs w:val="20"/>
                <w:lang w:val="en-GB"/>
              </w:rPr>
              <w:t xml:space="preserve">Investment fund for maritime ports (2009-2013): 2.4 M€ </w:t>
            </w:r>
          </w:p>
          <w:p w:rsidR="004F0695" w:rsidRPr="004F0695" w:rsidRDefault="004F0695" w:rsidP="004F0695">
            <w:pPr>
              <w:pStyle w:val="ListParagraph"/>
              <w:numPr>
                <w:ilvl w:val="0"/>
                <w:numId w:val="41"/>
              </w:numPr>
              <w:ind w:left="176" w:hanging="142"/>
              <w:jc w:val="left"/>
              <w:rPr>
                <w:rFonts w:eastAsia="Times New Roman" w:cstheme="minorHAnsi"/>
                <w:sz w:val="20"/>
                <w:szCs w:val="20"/>
                <w:lang w:val="en-GB" w:eastAsia="en-GB"/>
              </w:rPr>
            </w:pPr>
            <w:r>
              <w:rPr>
                <w:rStyle w:val="st1"/>
                <w:rFonts w:cstheme="minorHAnsi"/>
                <w:sz w:val="20"/>
                <w:szCs w:val="20"/>
              </w:rPr>
              <w:t>Marine renewable energies : 100M</w:t>
            </w:r>
            <w:r w:rsidRPr="004F0695">
              <w:rPr>
                <w:rStyle w:val="st1"/>
                <w:rFonts w:cstheme="minorHAnsi"/>
                <w:sz w:val="20"/>
                <w:szCs w:val="20"/>
              </w:rPr>
              <w:t>€</w:t>
            </w:r>
            <w:r>
              <w:rPr>
                <w:rStyle w:val="FootnoteReference"/>
                <w:rFonts w:cstheme="minorHAnsi"/>
                <w:sz w:val="20"/>
                <w:szCs w:val="20"/>
              </w:rPr>
              <w:footnoteReference w:id="154"/>
            </w:r>
          </w:p>
          <w:p w:rsidR="006B1CDB" w:rsidRPr="005611D8" w:rsidRDefault="006B1CDB" w:rsidP="006B1CDB">
            <w:pPr>
              <w:jc w:val="left"/>
              <w:rPr>
                <w:rFonts w:eastAsia="Times New Roman"/>
                <w:color w:val="000000"/>
                <w:sz w:val="20"/>
                <w:szCs w:val="20"/>
                <w:lang w:val="en-GB" w:eastAsia="en-GB"/>
              </w:rPr>
            </w:pPr>
          </w:p>
        </w:tc>
        <w:tc>
          <w:tcPr>
            <w:tcW w:w="1985" w:type="dxa"/>
            <w:tcBorders>
              <w:top w:val="nil"/>
              <w:left w:val="nil"/>
              <w:bottom w:val="single" w:sz="4" w:space="0" w:color="auto"/>
              <w:right w:val="single" w:sz="4" w:space="0" w:color="auto"/>
            </w:tcBorders>
            <w:shd w:val="clear" w:color="auto" w:fill="FFFFFF" w:themeFill="background1"/>
            <w:vAlign w:val="center"/>
          </w:tcPr>
          <w:p w:rsidR="00985B03" w:rsidRDefault="00A15831" w:rsidP="00C26C05">
            <w:pPr>
              <w:jc w:val="left"/>
              <w:rPr>
                <w:rFonts w:eastAsia="Times New Roman"/>
                <w:color w:val="000000"/>
                <w:sz w:val="20"/>
                <w:szCs w:val="20"/>
                <w:lang w:val="en-GB" w:eastAsia="en-GB"/>
              </w:rPr>
            </w:pPr>
            <w:r>
              <w:rPr>
                <w:rFonts w:eastAsia="Times New Roman"/>
                <w:color w:val="000000"/>
                <w:sz w:val="20"/>
                <w:szCs w:val="20"/>
                <w:lang w:val="en-GB" w:eastAsia="en-GB"/>
              </w:rPr>
              <w:t>Inspired by the European Un</w:t>
            </w:r>
            <w:r w:rsidR="00C26C05">
              <w:rPr>
                <w:rFonts w:eastAsia="Times New Roman"/>
                <w:color w:val="000000"/>
                <w:sz w:val="20"/>
                <w:szCs w:val="20"/>
                <w:lang w:val="en-GB" w:eastAsia="en-GB"/>
              </w:rPr>
              <w:t xml:space="preserve">ion Integrated Maritime policy and part of the Grenelle de la Mer process, the </w:t>
            </w:r>
            <w:r>
              <w:rPr>
                <w:rFonts w:eastAsia="Times New Roman"/>
                <w:color w:val="000000"/>
                <w:sz w:val="20"/>
                <w:szCs w:val="20"/>
                <w:lang w:val="en-GB" w:eastAsia="en-GB"/>
              </w:rPr>
              <w:t xml:space="preserve"> French Government is currently developing an integrated French maritime policy</w:t>
            </w:r>
            <w:r w:rsidR="00C26C05">
              <w:rPr>
                <w:rStyle w:val="FootnoteReference"/>
                <w:rFonts w:eastAsia="Times New Roman"/>
                <w:color w:val="000000"/>
                <w:sz w:val="20"/>
                <w:szCs w:val="20"/>
                <w:lang w:val="en-GB" w:eastAsia="en-GB"/>
              </w:rPr>
              <w:footnoteReference w:id="155"/>
            </w:r>
            <w:r w:rsidR="00C26C05">
              <w:rPr>
                <w:rFonts w:eastAsia="Times New Roman"/>
                <w:color w:val="000000"/>
                <w:sz w:val="20"/>
                <w:szCs w:val="20"/>
                <w:lang w:val="en-GB" w:eastAsia="en-GB"/>
              </w:rPr>
              <w:t xml:space="preserve"> around four priorities:</w:t>
            </w:r>
          </w:p>
          <w:p w:rsidR="00C26C05" w:rsidRDefault="00C26C05" w:rsidP="00C26C05">
            <w:pPr>
              <w:pStyle w:val="ListParagraph"/>
              <w:numPr>
                <w:ilvl w:val="0"/>
                <w:numId w:val="51"/>
              </w:numPr>
              <w:ind w:left="175" w:hanging="283"/>
              <w:jc w:val="left"/>
              <w:rPr>
                <w:rFonts w:eastAsia="Times New Roman"/>
                <w:color w:val="000000"/>
                <w:sz w:val="20"/>
                <w:szCs w:val="20"/>
                <w:lang w:val="en-GB" w:eastAsia="en-GB"/>
              </w:rPr>
            </w:pPr>
            <w:r>
              <w:rPr>
                <w:rFonts w:eastAsia="Times New Roman"/>
                <w:color w:val="000000"/>
                <w:sz w:val="20"/>
                <w:szCs w:val="20"/>
                <w:lang w:val="en-GB" w:eastAsia="en-GB"/>
              </w:rPr>
              <w:t>Develop the marine economy in all its dimensions;</w:t>
            </w:r>
          </w:p>
          <w:p w:rsidR="00C26C05" w:rsidRDefault="00C26C05" w:rsidP="00C26C05">
            <w:pPr>
              <w:pStyle w:val="ListParagraph"/>
              <w:numPr>
                <w:ilvl w:val="0"/>
                <w:numId w:val="51"/>
              </w:numPr>
              <w:ind w:left="175" w:hanging="283"/>
              <w:jc w:val="left"/>
              <w:rPr>
                <w:rFonts w:eastAsia="Times New Roman"/>
                <w:color w:val="000000"/>
                <w:sz w:val="20"/>
                <w:szCs w:val="20"/>
                <w:lang w:val="en-GB" w:eastAsia="en-GB"/>
              </w:rPr>
            </w:pPr>
            <w:r>
              <w:rPr>
                <w:rFonts w:eastAsia="Times New Roman"/>
                <w:color w:val="000000"/>
                <w:sz w:val="20"/>
                <w:szCs w:val="20"/>
                <w:lang w:val="en-GB" w:eastAsia="en-GB"/>
              </w:rPr>
              <w:t>Enhance training, research and innovation;</w:t>
            </w:r>
          </w:p>
          <w:p w:rsidR="00C26C05" w:rsidRPr="00C26C05" w:rsidRDefault="00C26C05" w:rsidP="00C26C05">
            <w:pPr>
              <w:pStyle w:val="ListParagraph"/>
              <w:numPr>
                <w:ilvl w:val="0"/>
                <w:numId w:val="51"/>
              </w:numPr>
              <w:ind w:left="175" w:hanging="283"/>
              <w:jc w:val="left"/>
              <w:rPr>
                <w:rFonts w:eastAsia="Times New Roman"/>
                <w:color w:val="000000"/>
                <w:sz w:val="20"/>
                <w:szCs w:val="20"/>
                <w:lang w:val="en-GB" w:eastAsia="en-GB"/>
              </w:rPr>
            </w:pPr>
            <w:r w:rsidRPr="00C26C05">
              <w:rPr>
                <w:rFonts w:eastAsia="Times New Roman"/>
                <w:color w:val="000000"/>
                <w:sz w:val="20"/>
                <w:szCs w:val="20"/>
                <w:lang w:val="en-GB" w:eastAsia="en-GB"/>
              </w:rPr>
              <w:t>Better pr</w:t>
            </w:r>
            <w:r>
              <w:rPr>
                <w:rFonts w:eastAsia="Times New Roman"/>
                <w:color w:val="000000"/>
                <w:sz w:val="20"/>
                <w:szCs w:val="20"/>
                <w:lang w:val="en-GB" w:eastAsia="en-GB"/>
              </w:rPr>
              <w:t xml:space="preserve">otect the marine environment through a </w:t>
            </w:r>
            <w:r w:rsidRPr="00C26C05">
              <w:rPr>
                <w:rFonts w:eastAsia="Times New Roman"/>
                <w:sz w:val="20"/>
                <w:szCs w:val="20"/>
                <w:lang w:val="en-GB" w:eastAsia="en-GB"/>
              </w:rPr>
              <w:t xml:space="preserve">dynamic classification </w:t>
            </w:r>
            <w:r>
              <w:rPr>
                <w:rFonts w:eastAsia="Times New Roman"/>
                <w:sz w:val="20"/>
                <w:szCs w:val="20"/>
                <w:lang w:val="en-GB" w:eastAsia="en-GB"/>
              </w:rPr>
              <w:t xml:space="preserve">of </w:t>
            </w:r>
            <w:r>
              <w:rPr>
                <w:rFonts w:eastAsia="Times New Roman"/>
                <w:sz w:val="20"/>
                <w:szCs w:val="20"/>
                <w:lang w:val="en-GB" w:eastAsia="en-GB"/>
              </w:rPr>
              <w:lastRenderedPageBreak/>
              <w:t>maritime areas</w:t>
            </w:r>
          </w:p>
          <w:p w:rsidR="00C26C05" w:rsidRPr="00C26C05" w:rsidRDefault="00C26C05" w:rsidP="00C26C05">
            <w:pPr>
              <w:pStyle w:val="ListParagraph"/>
              <w:numPr>
                <w:ilvl w:val="0"/>
                <w:numId w:val="51"/>
              </w:numPr>
              <w:ind w:left="175" w:hanging="283"/>
              <w:jc w:val="left"/>
              <w:rPr>
                <w:rFonts w:eastAsia="Times New Roman"/>
                <w:color w:val="000000"/>
                <w:sz w:val="20"/>
                <w:szCs w:val="20"/>
                <w:lang w:val="en-GB" w:eastAsia="en-GB"/>
              </w:rPr>
            </w:pPr>
            <w:r>
              <w:rPr>
                <w:rFonts w:eastAsia="Times New Roman"/>
                <w:color w:val="000000"/>
                <w:sz w:val="20"/>
                <w:szCs w:val="20"/>
                <w:lang w:val="en-GB" w:eastAsia="en-GB"/>
              </w:rPr>
              <w:t>Improve the working conditions of seafarers</w:t>
            </w:r>
          </w:p>
        </w:tc>
      </w:tr>
    </w:tbl>
    <w:p w:rsidR="00985B03" w:rsidRDefault="00985B03" w:rsidP="00985B03">
      <w:pPr>
        <w:rPr>
          <w:lang w:val="en-GB"/>
        </w:rPr>
      </w:pPr>
    </w:p>
    <w:p w:rsidR="00985B03" w:rsidRDefault="00985B03" w:rsidP="00985B03">
      <w:pPr>
        <w:rPr>
          <w:lang w:val="en-GB"/>
        </w:rPr>
      </w:pPr>
      <w:r>
        <w:rPr>
          <w:lang w:val="en-GB"/>
        </w:rPr>
        <w:t>The following evidence indicators to identify successful good practices will be analysed depending on the specific context of the individual good practice identified.</w:t>
      </w:r>
      <w:r>
        <w:rPr>
          <w:rStyle w:val="FootnoteReference"/>
          <w:lang w:val="en-GB"/>
        </w:rPr>
        <w:footnoteReference w:id="156"/>
      </w:r>
      <w:r>
        <w:rPr>
          <w:lang w:val="en-GB"/>
        </w:rPr>
        <w:t xml:space="preserve"> The assessment presents an expert opinion as to how far the targets and the objectives of the particular good practice have been met and in how far those have been met. </w:t>
      </w:r>
    </w:p>
    <w:p w:rsidR="00985B03" w:rsidRPr="0058793D" w:rsidRDefault="00985B03" w:rsidP="00985B03">
      <w:pPr>
        <w:pStyle w:val="Caption"/>
      </w:pPr>
      <w:r w:rsidRPr="0058793D">
        <w:t>Table 1</w:t>
      </w:r>
      <w:r>
        <w:t>7</w:t>
      </w:r>
      <w:r w:rsidRPr="0058793D">
        <w:t xml:space="preserve"> Assessment of good practices derived </w:t>
      </w:r>
    </w:p>
    <w:tbl>
      <w:tblPr>
        <w:tblW w:w="15106" w:type="dxa"/>
        <w:jc w:val="center"/>
        <w:tblInd w:w="-7190" w:type="dxa"/>
        <w:tblLook w:val="04A0" w:firstRow="1" w:lastRow="0" w:firstColumn="1" w:lastColumn="0" w:noHBand="0" w:noVBand="1"/>
      </w:tblPr>
      <w:tblGrid>
        <w:gridCol w:w="2065"/>
        <w:gridCol w:w="3544"/>
        <w:gridCol w:w="3685"/>
        <w:gridCol w:w="3094"/>
        <w:gridCol w:w="2718"/>
      </w:tblGrid>
      <w:tr w:rsidR="00985B03" w:rsidRPr="0058793D" w:rsidTr="009D0A28">
        <w:trPr>
          <w:cantSplit/>
          <w:trHeight w:val="1134"/>
          <w:jc w:val="center"/>
        </w:trPr>
        <w:tc>
          <w:tcPr>
            <w:tcW w:w="206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5B03" w:rsidRPr="005611D8" w:rsidRDefault="00985B03" w:rsidP="004E2A4F">
            <w:pPr>
              <w:jc w:val="center"/>
              <w:rPr>
                <w:rFonts w:eastAsia="Times New Roman"/>
                <w:b/>
                <w:bCs/>
                <w:color w:val="000000"/>
                <w:sz w:val="20"/>
                <w:szCs w:val="20"/>
                <w:lang w:val="en-GB" w:eastAsia="en-GB"/>
              </w:rPr>
            </w:pPr>
            <w:r>
              <w:rPr>
                <w:rFonts w:eastAsia="Times New Roman"/>
                <w:b/>
                <w:bCs/>
                <w:color w:val="000000"/>
                <w:sz w:val="20"/>
                <w:szCs w:val="20"/>
                <w:lang w:val="en-GB" w:eastAsia="en-GB"/>
              </w:rPr>
              <w:t>Good practice</w:t>
            </w:r>
          </w:p>
        </w:tc>
        <w:tc>
          <w:tcPr>
            <w:tcW w:w="3544"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985B03" w:rsidRPr="005611D8" w:rsidRDefault="00985B03" w:rsidP="004E2A4F">
            <w:pPr>
              <w:ind w:left="113" w:right="113"/>
              <w:jc w:val="center"/>
              <w:rPr>
                <w:rFonts w:eastAsia="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Evidence for impact 1</w:t>
            </w:r>
          </w:p>
        </w:tc>
        <w:tc>
          <w:tcPr>
            <w:tcW w:w="3685" w:type="dxa"/>
            <w:tcBorders>
              <w:top w:val="single" w:sz="4" w:space="0" w:color="auto"/>
              <w:left w:val="single" w:sz="4" w:space="0" w:color="auto"/>
              <w:bottom w:val="single" w:sz="4" w:space="0" w:color="auto"/>
              <w:right w:val="single" w:sz="4" w:space="0" w:color="auto"/>
            </w:tcBorders>
            <w:shd w:val="clear" w:color="000000" w:fill="DBE5F1"/>
            <w:textDirection w:val="btLr"/>
            <w:vAlign w:val="center"/>
          </w:tcPr>
          <w:p w:rsidR="00985B03" w:rsidRPr="005611D8" w:rsidRDefault="00985B03" w:rsidP="004E2A4F">
            <w:pPr>
              <w:ind w:left="113" w:right="113"/>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Evidence for impact 2 </w:t>
            </w:r>
          </w:p>
        </w:tc>
        <w:tc>
          <w:tcPr>
            <w:tcW w:w="3094" w:type="dxa"/>
            <w:tcBorders>
              <w:top w:val="single" w:sz="4" w:space="0" w:color="auto"/>
              <w:left w:val="single" w:sz="4" w:space="0" w:color="auto"/>
              <w:bottom w:val="single" w:sz="4" w:space="0" w:color="auto"/>
              <w:right w:val="single" w:sz="4" w:space="0" w:color="auto"/>
            </w:tcBorders>
            <w:shd w:val="clear" w:color="000000" w:fill="DBE5F1"/>
            <w:textDirection w:val="btLr"/>
          </w:tcPr>
          <w:p w:rsidR="00985B03" w:rsidRDefault="00985B03" w:rsidP="004E2A4F">
            <w:pPr>
              <w:ind w:left="113" w:right="113"/>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Evidence for impact 3</w:t>
            </w:r>
          </w:p>
        </w:tc>
        <w:tc>
          <w:tcPr>
            <w:tcW w:w="2718" w:type="dxa"/>
            <w:tcBorders>
              <w:top w:val="single" w:sz="4" w:space="0" w:color="auto"/>
              <w:left w:val="single" w:sz="4" w:space="0" w:color="auto"/>
              <w:bottom w:val="single" w:sz="4" w:space="0" w:color="auto"/>
              <w:right w:val="single" w:sz="4" w:space="0" w:color="auto"/>
            </w:tcBorders>
            <w:shd w:val="clear" w:color="000000" w:fill="DBE5F1"/>
            <w:vAlign w:val="center"/>
          </w:tcPr>
          <w:p w:rsidR="00985B03" w:rsidRPr="005611D8" w:rsidRDefault="00985B03" w:rsidP="004E2A4F">
            <w:pPr>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Assessment</w:t>
            </w:r>
          </w:p>
        </w:tc>
      </w:tr>
      <w:tr w:rsidR="00985B03" w:rsidRPr="00EC0540" w:rsidTr="009D0A28">
        <w:trPr>
          <w:trHeight w:val="20"/>
          <w:jc w:val="center"/>
        </w:trPr>
        <w:tc>
          <w:tcPr>
            <w:tcW w:w="2065" w:type="dxa"/>
            <w:tcBorders>
              <w:top w:val="nil"/>
              <w:left w:val="single" w:sz="4" w:space="0" w:color="auto"/>
              <w:bottom w:val="single" w:sz="4" w:space="0" w:color="auto"/>
              <w:right w:val="single" w:sz="4" w:space="0" w:color="auto"/>
            </w:tcBorders>
            <w:shd w:val="clear" w:color="auto" w:fill="FFFFFF" w:themeFill="background1"/>
            <w:vAlign w:val="center"/>
          </w:tcPr>
          <w:p w:rsidR="00985B03" w:rsidRPr="005611D8" w:rsidRDefault="003E71FC" w:rsidP="003E71FC">
            <w:pPr>
              <w:jc w:val="center"/>
              <w:rPr>
                <w:rFonts w:eastAsia="Times New Roman"/>
                <w:color w:val="000000"/>
                <w:sz w:val="20"/>
                <w:szCs w:val="20"/>
                <w:lang w:val="en-GB" w:eastAsia="en-GB"/>
              </w:rPr>
            </w:pPr>
            <w:r>
              <w:rPr>
                <w:rFonts w:eastAsia="Times New Roman"/>
                <w:color w:val="000000"/>
                <w:sz w:val="20"/>
                <w:szCs w:val="20"/>
                <w:lang w:val="en-GB" w:eastAsia="en-GB"/>
              </w:rPr>
              <w:t>Reform of maritime ports</w:t>
            </w:r>
            <w:r w:rsidR="000F666A">
              <w:rPr>
                <w:rStyle w:val="FootnoteReference"/>
                <w:rFonts w:eastAsia="Times New Roman"/>
                <w:color w:val="000000"/>
                <w:sz w:val="20"/>
                <w:szCs w:val="20"/>
                <w:lang w:val="en-GB" w:eastAsia="en-GB"/>
              </w:rPr>
              <w:footnoteReference w:id="157"/>
            </w:r>
          </w:p>
        </w:tc>
        <w:tc>
          <w:tcPr>
            <w:tcW w:w="3544" w:type="dxa"/>
            <w:tcBorders>
              <w:top w:val="nil"/>
              <w:left w:val="nil"/>
              <w:bottom w:val="single" w:sz="4" w:space="0" w:color="auto"/>
              <w:right w:val="single" w:sz="4" w:space="0" w:color="auto"/>
            </w:tcBorders>
            <w:shd w:val="clear" w:color="auto" w:fill="FFFFFF" w:themeFill="background1"/>
            <w:vAlign w:val="center"/>
          </w:tcPr>
          <w:p w:rsidR="00985B03" w:rsidRPr="005611D8" w:rsidRDefault="003E71FC" w:rsidP="004E2A4F">
            <w:pPr>
              <w:jc w:val="left"/>
              <w:rPr>
                <w:rFonts w:eastAsia="Times New Roman"/>
                <w:color w:val="000000"/>
                <w:sz w:val="20"/>
                <w:szCs w:val="20"/>
                <w:lang w:val="en-GB" w:eastAsia="en-GB"/>
              </w:rPr>
            </w:pPr>
            <w:r>
              <w:rPr>
                <w:rFonts w:eastAsia="Times New Roman"/>
                <w:color w:val="000000"/>
                <w:sz w:val="20"/>
                <w:szCs w:val="20"/>
                <w:lang w:val="en-GB" w:eastAsia="en-GB"/>
              </w:rPr>
              <w:t>Creation of 7 Development</w:t>
            </w:r>
            <w:r w:rsidR="00504B2E">
              <w:rPr>
                <w:rFonts w:eastAsia="Times New Roman"/>
                <w:color w:val="000000"/>
                <w:sz w:val="20"/>
                <w:szCs w:val="20"/>
                <w:lang w:val="en-GB" w:eastAsia="en-GB"/>
              </w:rPr>
              <w:t xml:space="preserve"> Committees</w:t>
            </w:r>
            <w:r>
              <w:rPr>
                <w:rFonts w:eastAsia="Times New Roman"/>
                <w:color w:val="000000"/>
                <w:sz w:val="20"/>
                <w:szCs w:val="20"/>
                <w:lang w:val="en-GB" w:eastAsia="en-GB"/>
              </w:rPr>
              <w:t xml:space="preserve"> (one for each of the main French maritime ports)</w:t>
            </w:r>
            <w:r w:rsidR="00504B2E">
              <w:rPr>
                <w:rFonts w:eastAsia="Times New Roman"/>
                <w:color w:val="000000"/>
                <w:sz w:val="20"/>
                <w:szCs w:val="20"/>
                <w:lang w:val="en-GB" w:eastAsia="en-GB"/>
              </w:rPr>
              <w:t xml:space="preserve"> and Scientific Committees to bring together all relevant stakeholders. Such committees meet on a regular basis to discuss all environmental and strategic</w:t>
            </w:r>
            <w:r w:rsidR="000F666A">
              <w:rPr>
                <w:rFonts w:eastAsia="Times New Roman"/>
                <w:color w:val="000000"/>
                <w:sz w:val="20"/>
                <w:szCs w:val="20"/>
                <w:lang w:val="en-GB" w:eastAsia="en-GB"/>
              </w:rPr>
              <w:t xml:space="preserve"> aspects of the maritime ports.</w:t>
            </w:r>
          </w:p>
        </w:tc>
        <w:tc>
          <w:tcPr>
            <w:tcW w:w="3685" w:type="dxa"/>
            <w:tcBorders>
              <w:top w:val="nil"/>
              <w:left w:val="nil"/>
              <w:bottom w:val="single" w:sz="4" w:space="0" w:color="auto"/>
              <w:right w:val="single" w:sz="4" w:space="0" w:color="auto"/>
            </w:tcBorders>
            <w:shd w:val="clear" w:color="auto" w:fill="FFFFFF" w:themeFill="background1"/>
          </w:tcPr>
          <w:p w:rsidR="00985B03" w:rsidRDefault="000F666A" w:rsidP="00B773C7">
            <w:pPr>
              <w:jc w:val="left"/>
              <w:rPr>
                <w:rFonts w:eastAsia="Times New Roman"/>
                <w:color w:val="000000"/>
                <w:sz w:val="20"/>
                <w:szCs w:val="20"/>
                <w:lang w:val="en-GB" w:eastAsia="en-GB"/>
              </w:rPr>
            </w:pPr>
            <w:r>
              <w:rPr>
                <w:rFonts w:eastAsia="Times New Roman"/>
                <w:color w:val="000000"/>
                <w:sz w:val="20"/>
                <w:szCs w:val="20"/>
                <w:lang w:val="en-GB" w:eastAsia="en-GB"/>
              </w:rPr>
              <w:t>On the one side, m</w:t>
            </w:r>
            <w:r w:rsidR="00B773C7">
              <w:rPr>
                <w:rFonts w:eastAsia="Times New Roman"/>
                <w:color w:val="000000"/>
                <w:sz w:val="20"/>
                <w:szCs w:val="20"/>
                <w:lang w:val="en-GB" w:eastAsia="en-GB"/>
              </w:rPr>
              <w:t xml:space="preserve">aritime ports are now owners of the </w:t>
            </w:r>
            <w:r w:rsidR="00B773C7" w:rsidRPr="00B773C7">
              <w:rPr>
                <w:rFonts w:eastAsia="Times New Roman"/>
                <w:color w:val="000000"/>
                <w:sz w:val="20"/>
                <w:szCs w:val="20"/>
                <w:lang w:val="en-GB" w:eastAsia="en-GB"/>
              </w:rPr>
              <w:t>railways located in their constituencies</w:t>
            </w:r>
            <w:r w:rsidR="00B773C7">
              <w:rPr>
                <w:rFonts w:eastAsia="Times New Roman"/>
                <w:color w:val="000000"/>
                <w:sz w:val="20"/>
                <w:szCs w:val="20"/>
                <w:lang w:val="en-GB" w:eastAsia="en-GB"/>
              </w:rPr>
              <w:t>. In 2010, a first railway operator ‘Maritime Rail Services’ (partially owned by the La Rochelle maritime port) has entered into service for the transportation of oil products from La Rochelle to Guéret. Since then, the service has enlarged to other products and destinations.</w:t>
            </w:r>
          </w:p>
          <w:p w:rsidR="000F666A" w:rsidRPr="005611D8" w:rsidRDefault="000F666A" w:rsidP="00B773C7">
            <w:pPr>
              <w:jc w:val="left"/>
              <w:rPr>
                <w:rFonts w:eastAsia="Times New Roman"/>
                <w:color w:val="000000"/>
                <w:sz w:val="20"/>
                <w:szCs w:val="20"/>
                <w:lang w:val="en-GB" w:eastAsia="en-GB"/>
              </w:rPr>
            </w:pPr>
            <w:r>
              <w:rPr>
                <w:rFonts w:eastAsia="Times New Roman"/>
                <w:color w:val="000000"/>
                <w:sz w:val="20"/>
                <w:szCs w:val="20"/>
                <w:lang w:val="en-GB" w:eastAsia="en-GB"/>
              </w:rPr>
              <w:t xml:space="preserve">On the other side, harbour-related commercial operations are now opened up to private ownership and competition </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rsidR="00985B03" w:rsidRPr="005611D8" w:rsidRDefault="00B773C7" w:rsidP="000F666A">
            <w:pPr>
              <w:jc w:val="left"/>
              <w:rPr>
                <w:rFonts w:eastAsia="Times New Roman"/>
                <w:color w:val="000000"/>
                <w:sz w:val="20"/>
                <w:szCs w:val="20"/>
                <w:lang w:val="en-GB" w:eastAsia="en-GB"/>
              </w:rPr>
            </w:pPr>
            <w:r>
              <w:rPr>
                <w:rFonts w:eastAsia="Times New Roman"/>
                <w:color w:val="000000"/>
                <w:sz w:val="20"/>
                <w:szCs w:val="20"/>
                <w:lang w:val="en-GB" w:eastAsia="en-GB"/>
              </w:rPr>
              <w:t>2.4 Million Euros have been invested for the period 2009-2013 to support the reform, notably to improve connections of ports to rail and river transport networks</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A7A" w:rsidRDefault="00550943" w:rsidP="000F666A">
            <w:pPr>
              <w:jc w:val="left"/>
              <w:rPr>
                <w:rFonts w:eastAsia="Times New Roman"/>
                <w:color w:val="000000"/>
                <w:sz w:val="20"/>
                <w:szCs w:val="20"/>
                <w:lang w:val="en-GB" w:eastAsia="en-GB"/>
              </w:rPr>
            </w:pPr>
            <w:r>
              <w:rPr>
                <w:rFonts w:eastAsia="Times New Roman"/>
                <w:color w:val="000000"/>
                <w:sz w:val="20"/>
                <w:szCs w:val="20"/>
                <w:lang w:val="en-GB" w:eastAsia="en-GB"/>
              </w:rPr>
              <w:t>According to the French</w:t>
            </w:r>
            <w:r w:rsidR="007B1A7A">
              <w:rPr>
                <w:rFonts w:eastAsia="Times New Roman"/>
                <w:color w:val="000000"/>
                <w:sz w:val="20"/>
                <w:szCs w:val="20"/>
                <w:lang w:val="en-GB" w:eastAsia="en-GB"/>
              </w:rPr>
              <w:t xml:space="preserve"> Institute for Maritime Economy</w:t>
            </w:r>
            <w:r w:rsidR="007B1A7A">
              <w:rPr>
                <w:rStyle w:val="FootnoteReference"/>
                <w:rFonts w:eastAsia="Times New Roman"/>
                <w:color w:val="000000"/>
                <w:sz w:val="20"/>
                <w:szCs w:val="20"/>
                <w:lang w:val="en-GB" w:eastAsia="en-GB"/>
              </w:rPr>
              <w:footnoteReference w:id="158"/>
            </w:r>
            <w:r w:rsidR="007B1A7A" w:rsidRPr="007B1A7A">
              <w:rPr>
                <w:rFonts w:eastAsia="Times New Roman"/>
                <w:color w:val="000000"/>
                <w:sz w:val="20"/>
                <w:szCs w:val="20"/>
                <w:lang w:val="en-GB" w:eastAsia="en-GB"/>
              </w:rPr>
              <w:t>.</w:t>
            </w:r>
            <w:r w:rsidR="007B1A7A">
              <w:rPr>
                <w:rFonts w:eastAsia="Times New Roman"/>
                <w:color w:val="000000"/>
                <w:sz w:val="20"/>
                <w:szCs w:val="20"/>
                <w:lang w:val="en-GB" w:eastAsia="en-GB"/>
              </w:rPr>
              <w:t>, the reform has led to:</w:t>
            </w:r>
          </w:p>
          <w:p w:rsidR="007B1A7A" w:rsidRDefault="007B1A7A" w:rsidP="007B1A7A">
            <w:pPr>
              <w:pStyle w:val="ListParagraph"/>
              <w:numPr>
                <w:ilvl w:val="0"/>
                <w:numId w:val="49"/>
              </w:numPr>
              <w:ind w:left="200" w:hanging="200"/>
              <w:jc w:val="left"/>
              <w:rPr>
                <w:rFonts w:eastAsia="Times New Roman"/>
                <w:color w:val="000000"/>
                <w:sz w:val="20"/>
                <w:szCs w:val="20"/>
                <w:lang w:val="en-GB" w:eastAsia="en-GB"/>
              </w:rPr>
            </w:pPr>
            <w:r>
              <w:rPr>
                <w:rFonts w:eastAsia="Times New Roman"/>
                <w:color w:val="000000"/>
                <w:sz w:val="20"/>
                <w:szCs w:val="20"/>
                <w:lang w:val="en-GB" w:eastAsia="en-GB"/>
              </w:rPr>
              <w:t>A m</w:t>
            </w:r>
            <w:r w:rsidR="000F666A" w:rsidRPr="007B1A7A">
              <w:rPr>
                <w:rFonts w:eastAsia="Times New Roman"/>
                <w:color w:val="000000"/>
                <w:sz w:val="20"/>
                <w:szCs w:val="20"/>
                <w:lang w:val="en-GB" w:eastAsia="en-GB"/>
              </w:rPr>
              <w:t>odernised system of governance</w:t>
            </w:r>
            <w:r w:rsidR="005573F0">
              <w:rPr>
                <w:rFonts w:eastAsia="Times New Roman"/>
                <w:color w:val="000000"/>
                <w:sz w:val="20"/>
                <w:szCs w:val="20"/>
                <w:lang w:val="en-GB" w:eastAsia="en-GB"/>
              </w:rPr>
              <w:t>;</w:t>
            </w:r>
          </w:p>
          <w:p w:rsidR="007B1A7A" w:rsidRDefault="007B1A7A" w:rsidP="007B1A7A">
            <w:pPr>
              <w:pStyle w:val="ListParagraph"/>
              <w:numPr>
                <w:ilvl w:val="0"/>
                <w:numId w:val="49"/>
              </w:numPr>
              <w:ind w:left="200" w:hanging="200"/>
              <w:jc w:val="left"/>
              <w:rPr>
                <w:rFonts w:eastAsia="Times New Roman"/>
                <w:color w:val="000000"/>
                <w:sz w:val="20"/>
                <w:szCs w:val="20"/>
                <w:lang w:val="en-GB" w:eastAsia="en-GB"/>
              </w:rPr>
            </w:pPr>
            <w:r>
              <w:rPr>
                <w:rFonts w:eastAsia="Times New Roman"/>
                <w:color w:val="000000"/>
                <w:sz w:val="20"/>
                <w:szCs w:val="20"/>
                <w:lang w:val="en-GB" w:eastAsia="en-GB"/>
              </w:rPr>
              <w:t>The</w:t>
            </w:r>
            <w:r w:rsidR="000F666A" w:rsidRPr="007B1A7A">
              <w:rPr>
                <w:rFonts w:eastAsia="Times New Roman"/>
                <w:color w:val="000000"/>
                <w:sz w:val="20"/>
                <w:szCs w:val="20"/>
                <w:lang w:val="en-GB" w:eastAsia="en-GB"/>
              </w:rPr>
              <w:t>, promotion of intermodal logistics services</w:t>
            </w:r>
            <w:r w:rsidR="005573F0">
              <w:rPr>
                <w:rFonts w:eastAsia="Times New Roman"/>
                <w:color w:val="000000"/>
                <w:sz w:val="20"/>
                <w:szCs w:val="20"/>
                <w:lang w:val="en-GB" w:eastAsia="en-GB"/>
              </w:rPr>
              <w:t>;</w:t>
            </w:r>
          </w:p>
          <w:p w:rsidR="00985B03" w:rsidRPr="007B1A7A" w:rsidRDefault="007B1A7A" w:rsidP="007B1A7A">
            <w:pPr>
              <w:pStyle w:val="ListParagraph"/>
              <w:numPr>
                <w:ilvl w:val="0"/>
                <w:numId w:val="49"/>
              </w:numPr>
              <w:ind w:left="200" w:hanging="200"/>
              <w:jc w:val="left"/>
              <w:rPr>
                <w:rFonts w:eastAsia="Times New Roman"/>
                <w:color w:val="000000"/>
                <w:sz w:val="20"/>
                <w:szCs w:val="20"/>
                <w:lang w:val="en-GB" w:eastAsia="en-GB"/>
              </w:rPr>
            </w:pPr>
            <w:r>
              <w:rPr>
                <w:rFonts w:eastAsia="Times New Roman"/>
                <w:color w:val="000000"/>
                <w:sz w:val="20"/>
                <w:szCs w:val="20"/>
                <w:lang w:val="en-GB" w:eastAsia="en-GB"/>
              </w:rPr>
              <w:t>An e</w:t>
            </w:r>
            <w:r w:rsidR="000F666A" w:rsidRPr="007B1A7A">
              <w:rPr>
                <w:rFonts w:eastAsia="Times New Roman"/>
                <w:color w:val="000000"/>
                <w:sz w:val="20"/>
                <w:szCs w:val="20"/>
                <w:lang w:val="en-GB" w:eastAsia="en-GB"/>
              </w:rPr>
              <w:t xml:space="preserve">nhanced competitiveness of French ports </w:t>
            </w:r>
            <w:r w:rsidR="005573F0">
              <w:rPr>
                <w:rFonts w:eastAsia="Times New Roman"/>
                <w:color w:val="000000"/>
                <w:sz w:val="20"/>
                <w:szCs w:val="20"/>
                <w:lang w:val="en-GB" w:eastAsia="en-GB"/>
              </w:rPr>
              <w:t>.</w:t>
            </w:r>
          </w:p>
        </w:tc>
      </w:tr>
      <w:tr w:rsidR="00985B03" w:rsidRPr="00EC0540" w:rsidTr="005573F0">
        <w:trPr>
          <w:trHeight w:val="4810"/>
          <w:jc w:val="center"/>
        </w:trPr>
        <w:tc>
          <w:tcPr>
            <w:tcW w:w="2065" w:type="dxa"/>
            <w:tcBorders>
              <w:top w:val="nil"/>
              <w:left w:val="single" w:sz="4" w:space="0" w:color="auto"/>
              <w:bottom w:val="single" w:sz="4" w:space="0" w:color="auto"/>
              <w:right w:val="single" w:sz="4" w:space="0" w:color="auto"/>
            </w:tcBorders>
            <w:shd w:val="clear" w:color="auto" w:fill="FFFFFF" w:themeFill="background1"/>
            <w:vAlign w:val="center"/>
          </w:tcPr>
          <w:p w:rsidR="00985B03" w:rsidRPr="005611D8" w:rsidRDefault="009D0A28" w:rsidP="009D0A28">
            <w:pPr>
              <w:jc w:val="left"/>
              <w:rPr>
                <w:rFonts w:eastAsia="Times New Roman"/>
                <w:color w:val="000000"/>
                <w:sz w:val="20"/>
                <w:szCs w:val="20"/>
                <w:lang w:val="en-GB" w:eastAsia="en-GB"/>
              </w:rPr>
            </w:pPr>
            <w:r>
              <w:rPr>
                <w:rFonts w:eastAsia="Times New Roman"/>
                <w:color w:val="000000"/>
                <w:sz w:val="20"/>
                <w:szCs w:val="20"/>
                <w:lang w:val="en-GB" w:eastAsia="en-GB"/>
              </w:rPr>
              <w:lastRenderedPageBreak/>
              <w:t xml:space="preserve">The ‘Grenelle methodology’ </w:t>
            </w:r>
            <w:r w:rsidR="007B1A7A">
              <w:rPr>
                <w:rStyle w:val="FootnoteReference"/>
                <w:rFonts w:eastAsia="Times New Roman"/>
                <w:color w:val="000000"/>
                <w:sz w:val="20"/>
                <w:szCs w:val="20"/>
                <w:lang w:val="en-GB" w:eastAsia="en-GB"/>
              </w:rPr>
              <w:footnoteReference w:id="159"/>
            </w:r>
          </w:p>
        </w:tc>
        <w:tc>
          <w:tcPr>
            <w:tcW w:w="3544" w:type="dxa"/>
            <w:tcBorders>
              <w:top w:val="nil"/>
              <w:left w:val="nil"/>
              <w:bottom w:val="single" w:sz="4" w:space="0" w:color="auto"/>
              <w:right w:val="single" w:sz="4" w:space="0" w:color="auto"/>
            </w:tcBorders>
            <w:shd w:val="clear" w:color="auto" w:fill="FFFFFF" w:themeFill="background1"/>
            <w:vAlign w:val="center"/>
          </w:tcPr>
          <w:p w:rsidR="00550943" w:rsidRDefault="00550943" w:rsidP="00550943">
            <w:pPr>
              <w:jc w:val="left"/>
              <w:rPr>
                <w:rFonts w:eastAsia="Times New Roman"/>
                <w:color w:val="000000"/>
                <w:sz w:val="20"/>
                <w:szCs w:val="20"/>
                <w:lang w:val="en-GB" w:eastAsia="en-GB"/>
              </w:rPr>
            </w:pPr>
            <w:r>
              <w:rPr>
                <w:rFonts w:eastAsia="Times New Roman"/>
                <w:color w:val="000000"/>
                <w:sz w:val="20"/>
                <w:szCs w:val="20"/>
                <w:lang w:val="en-GB" w:eastAsia="en-GB"/>
              </w:rPr>
              <w:t xml:space="preserve">Drafting proposals: </w:t>
            </w:r>
          </w:p>
          <w:p w:rsidR="00985B03" w:rsidRPr="005611D8" w:rsidRDefault="00550943" w:rsidP="009D0A28">
            <w:pPr>
              <w:jc w:val="left"/>
              <w:rPr>
                <w:rFonts w:eastAsia="Times New Roman"/>
                <w:color w:val="000000"/>
                <w:sz w:val="20"/>
                <w:szCs w:val="20"/>
                <w:lang w:val="en-GB" w:eastAsia="en-GB"/>
              </w:rPr>
            </w:pPr>
            <w:r>
              <w:rPr>
                <w:rFonts w:eastAsia="Times New Roman"/>
                <w:color w:val="000000"/>
                <w:sz w:val="20"/>
                <w:szCs w:val="20"/>
                <w:lang w:val="en-GB" w:eastAsia="en-GB"/>
              </w:rPr>
              <w:t xml:space="preserve">Four </w:t>
            </w:r>
            <w:r w:rsidR="009D0A28">
              <w:rPr>
                <w:rFonts w:eastAsia="Times New Roman"/>
                <w:color w:val="000000"/>
                <w:sz w:val="20"/>
                <w:szCs w:val="20"/>
                <w:lang w:val="en-GB" w:eastAsia="en-GB"/>
              </w:rPr>
              <w:t>Working Groups</w:t>
            </w:r>
            <w:r>
              <w:rPr>
                <w:rFonts w:eastAsia="Times New Roman"/>
                <w:color w:val="000000"/>
                <w:sz w:val="20"/>
                <w:szCs w:val="20"/>
                <w:lang w:val="en-GB" w:eastAsia="en-GB"/>
              </w:rPr>
              <w:t xml:space="preserve"> composed of around fifty members taken from five sectors – Government, local authorities, companies, employee representatives and environmental groups – together with specialist qualified individuals</w:t>
            </w:r>
          </w:p>
        </w:tc>
        <w:tc>
          <w:tcPr>
            <w:tcW w:w="3685" w:type="dxa"/>
            <w:tcBorders>
              <w:top w:val="nil"/>
              <w:left w:val="nil"/>
              <w:bottom w:val="single" w:sz="4" w:space="0" w:color="auto"/>
              <w:right w:val="single" w:sz="4" w:space="0" w:color="auto"/>
            </w:tcBorders>
            <w:shd w:val="clear" w:color="auto" w:fill="FFFFFF" w:themeFill="background1"/>
            <w:vAlign w:val="center"/>
          </w:tcPr>
          <w:p w:rsidR="00985B03" w:rsidRDefault="005573F0" w:rsidP="00550943">
            <w:pPr>
              <w:jc w:val="left"/>
              <w:rPr>
                <w:rFonts w:eastAsia="Times New Roman"/>
                <w:color w:val="000000"/>
                <w:sz w:val="20"/>
                <w:szCs w:val="20"/>
                <w:lang w:val="en-GB" w:eastAsia="en-GB"/>
              </w:rPr>
            </w:pPr>
            <w:r>
              <w:rPr>
                <w:rFonts w:eastAsia="Times New Roman"/>
                <w:color w:val="000000"/>
                <w:sz w:val="20"/>
                <w:szCs w:val="20"/>
                <w:lang w:val="en-GB" w:eastAsia="en-GB"/>
              </w:rPr>
              <w:t>Nat</w:t>
            </w:r>
            <w:r w:rsidR="00550943">
              <w:rPr>
                <w:rFonts w:eastAsia="Times New Roman"/>
                <w:color w:val="000000"/>
                <w:sz w:val="20"/>
                <w:szCs w:val="20"/>
                <w:lang w:val="en-GB" w:eastAsia="en-GB"/>
              </w:rPr>
              <w:t xml:space="preserve">ional consultation: </w:t>
            </w:r>
          </w:p>
          <w:p w:rsidR="00550943" w:rsidRDefault="00550943" w:rsidP="00550943">
            <w:pPr>
              <w:pStyle w:val="ListParagraph"/>
              <w:numPr>
                <w:ilvl w:val="0"/>
                <w:numId w:val="47"/>
              </w:numPr>
              <w:ind w:left="317" w:hanging="284"/>
              <w:jc w:val="left"/>
              <w:rPr>
                <w:rFonts w:eastAsia="Times New Roman"/>
                <w:color w:val="000000"/>
                <w:sz w:val="20"/>
                <w:szCs w:val="20"/>
                <w:lang w:val="en-GB" w:eastAsia="en-GB"/>
              </w:rPr>
            </w:pPr>
            <w:r>
              <w:rPr>
                <w:rFonts w:eastAsia="Times New Roman"/>
                <w:color w:val="000000"/>
                <w:sz w:val="20"/>
                <w:szCs w:val="20"/>
                <w:lang w:val="en-GB" w:eastAsia="en-GB"/>
              </w:rPr>
              <w:t>Internet community consultation</w:t>
            </w:r>
          </w:p>
          <w:p w:rsidR="00550943" w:rsidRDefault="00550943" w:rsidP="00550943">
            <w:pPr>
              <w:pStyle w:val="ListParagraph"/>
              <w:numPr>
                <w:ilvl w:val="0"/>
                <w:numId w:val="47"/>
              </w:numPr>
              <w:ind w:left="317" w:hanging="284"/>
              <w:jc w:val="left"/>
              <w:rPr>
                <w:rFonts w:eastAsia="Times New Roman"/>
                <w:color w:val="000000"/>
                <w:sz w:val="20"/>
                <w:szCs w:val="20"/>
                <w:lang w:val="en-GB" w:eastAsia="en-GB"/>
              </w:rPr>
            </w:pPr>
            <w:r w:rsidRPr="00550943">
              <w:rPr>
                <w:rFonts w:eastAsia="Times New Roman"/>
                <w:color w:val="000000"/>
                <w:sz w:val="20"/>
                <w:szCs w:val="20"/>
                <w:lang w:val="en-GB" w:eastAsia="en-GB"/>
              </w:rPr>
              <w:t>18 regional oceans round tables with a total of 4.000 participants</w:t>
            </w:r>
          </w:p>
          <w:p w:rsidR="00550943" w:rsidRPr="00550943" w:rsidRDefault="00550943" w:rsidP="00550943">
            <w:pPr>
              <w:pStyle w:val="ListParagraph"/>
              <w:numPr>
                <w:ilvl w:val="0"/>
                <w:numId w:val="47"/>
              </w:numPr>
              <w:ind w:left="317" w:hanging="284"/>
              <w:jc w:val="left"/>
              <w:rPr>
                <w:rFonts w:eastAsia="Times New Roman"/>
                <w:color w:val="000000"/>
                <w:sz w:val="20"/>
                <w:szCs w:val="20"/>
                <w:lang w:val="en-GB" w:eastAsia="en-GB"/>
              </w:rPr>
            </w:pPr>
            <w:r w:rsidRPr="00550943">
              <w:rPr>
                <w:rFonts w:eastAsia="Times New Roman"/>
                <w:color w:val="000000"/>
                <w:sz w:val="20"/>
                <w:szCs w:val="20"/>
                <w:lang w:val="en-GB" w:eastAsia="en-GB"/>
              </w:rPr>
              <w:t>Consultation from the twenty French National councils concerned: National Council of the Coast, Senior Council for Merchant Navy, national councils for waste, water, air, etc.</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rsidR="00985B03" w:rsidRDefault="00550943" w:rsidP="00550943">
            <w:pPr>
              <w:jc w:val="left"/>
              <w:rPr>
                <w:rFonts w:eastAsia="Times New Roman"/>
                <w:color w:val="000000"/>
                <w:sz w:val="20"/>
                <w:szCs w:val="20"/>
                <w:lang w:val="en-GB" w:eastAsia="en-GB"/>
              </w:rPr>
            </w:pPr>
            <w:r>
              <w:rPr>
                <w:rFonts w:eastAsia="Times New Roman"/>
                <w:color w:val="000000"/>
                <w:sz w:val="20"/>
                <w:szCs w:val="20"/>
                <w:lang w:val="en-GB" w:eastAsia="en-GB"/>
              </w:rPr>
              <w:t>Final Round Table:</w:t>
            </w:r>
          </w:p>
          <w:p w:rsidR="00550943" w:rsidRDefault="00550943" w:rsidP="00550943">
            <w:pPr>
              <w:pStyle w:val="ListParagraph"/>
              <w:numPr>
                <w:ilvl w:val="0"/>
                <w:numId w:val="48"/>
              </w:numPr>
              <w:ind w:left="317" w:hanging="283"/>
              <w:jc w:val="left"/>
              <w:rPr>
                <w:rFonts w:eastAsia="Times New Roman"/>
                <w:color w:val="000000"/>
                <w:sz w:val="20"/>
                <w:szCs w:val="20"/>
                <w:lang w:val="en-GB" w:eastAsia="en-GB"/>
              </w:rPr>
            </w:pPr>
            <w:r w:rsidRPr="00550943">
              <w:rPr>
                <w:rFonts w:eastAsia="Times New Roman"/>
                <w:color w:val="000000"/>
                <w:sz w:val="20"/>
                <w:szCs w:val="20"/>
                <w:lang w:val="en-GB" w:eastAsia="en-GB"/>
              </w:rPr>
              <w:t>Final round table</w:t>
            </w:r>
          </w:p>
          <w:p w:rsidR="00550943" w:rsidRDefault="00550943" w:rsidP="00550943">
            <w:pPr>
              <w:pStyle w:val="ListParagraph"/>
              <w:numPr>
                <w:ilvl w:val="0"/>
                <w:numId w:val="48"/>
              </w:numPr>
              <w:ind w:left="317" w:hanging="283"/>
              <w:jc w:val="left"/>
              <w:rPr>
                <w:rFonts w:eastAsia="Times New Roman"/>
                <w:color w:val="000000"/>
                <w:sz w:val="20"/>
                <w:szCs w:val="20"/>
                <w:lang w:val="en-GB" w:eastAsia="en-GB"/>
              </w:rPr>
            </w:pPr>
            <w:r>
              <w:rPr>
                <w:rFonts w:eastAsia="Times New Roman"/>
                <w:color w:val="000000"/>
                <w:sz w:val="20"/>
                <w:szCs w:val="20"/>
                <w:lang w:val="en-GB" w:eastAsia="en-GB"/>
              </w:rPr>
              <w:t>S</w:t>
            </w:r>
            <w:r w:rsidRPr="00550943">
              <w:rPr>
                <w:rFonts w:eastAsia="Times New Roman"/>
                <w:color w:val="000000"/>
                <w:sz w:val="20"/>
                <w:szCs w:val="20"/>
                <w:lang w:val="en-GB" w:eastAsia="en-GB"/>
              </w:rPr>
              <w:t>peech from French President on French maritime policy</w:t>
            </w:r>
          </w:p>
          <w:p w:rsidR="00550943" w:rsidRPr="00550943" w:rsidRDefault="00550943" w:rsidP="00550943">
            <w:pPr>
              <w:pStyle w:val="ListParagraph"/>
              <w:numPr>
                <w:ilvl w:val="0"/>
                <w:numId w:val="48"/>
              </w:numPr>
              <w:ind w:left="317" w:hanging="283"/>
              <w:jc w:val="left"/>
              <w:rPr>
                <w:rFonts w:eastAsia="Times New Roman"/>
                <w:color w:val="000000"/>
                <w:sz w:val="20"/>
                <w:szCs w:val="20"/>
                <w:lang w:val="en-GB" w:eastAsia="en-GB"/>
              </w:rPr>
            </w:pPr>
            <w:r>
              <w:rPr>
                <w:rFonts w:eastAsia="Times New Roman"/>
                <w:color w:val="000000"/>
                <w:sz w:val="20"/>
                <w:szCs w:val="20"/>
                <w:lang w:val="en-GB" w:eastAsia="en-GB"/>
              </w:rPr>
              <w:t>P</w:t>
            </w:r>
            <w:r w:rsidRPr="00550943">
              <w:rPr>
                <w:rFonts w:eastAsia="Times New Roman"/>
                <w:color w:val="000000"/>
                <w:sz w:val="20"/>
                <w:szCs w:val="20"/>
                <w:lang w:val="en-GB" w:eastAsia="en-GB"/>
              </w:rPr>
              <w:t>ublication of a Blue Book</w:t>
            </w:r>
            <w:r>
              <w:rPr>
                <w:rStyle w:val="FootnoteReference"/>
                <w:rFonts w:eastAsia="Times New Roman"/>
                <w:color w:val="000000"/>
                <w:sz w:val="20"/>
                <w:szCs w:val="20"/>
                <w:lang w:val="en-GB" w:eastAsia="en-GB"/>
              </w:rPr>
              <w:footnoteReference w:id="160"/>
            </w:r>
            <w:r w:rsidRPr="00550943">
              <w:rPr>
                <w:rFonts w:eastAsia="Times New Roman"/>
                <w:color w:val="000000"/>
                <w:sz w:val="20"/>
                <w:szCs w:val="20"/>
                <w:lang w:val="en-GB" w:eastAsia="en-GB"/>
              </w:rPr>
              <w:t xml:space="preserve"> detailing the Round Table commitments</w:t>
            </w:r>
          </w:p>
        </w:tc>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B03" w:rsidRDefault="009D0A28" w:rsidP="00550943">
            <w:pPr>
              <w:jc w:val="left"/>
              <w:rPr>
                <w:rFonts w:eastAsia="Times New Roman"/>
                <w:color w:val="000000"/>
                <w:sz w:val="20"/>
                <w:szCs w:val="20"/>
                <w:lang w:val="en-GB" w:eastAsia="en-GB"/>
              </w:rPr>
            </w:pPr>
            <w:r>
              <w:rPr>
                <w:rFonts w:eastAsia="Times New Roman"/>
                <w:color w:val="000000"/>
                <w:sz w:val="20"/>
                <w:szCs w:val="20"/>
                <w:lang w:val="en-GB" w:eastAsia="en-GB"/>
              </w:rPr>
              <w:t>According  to WWF France</w:t>
            </w:r>
            <w:r w:rsidR="005573F0">
              <w:rPr>
                <w:rStyle w:val="FootnoteReference"/>
                <w:rFonts w:eastAsia="Times New Roman"/>
                <w:color w:val="000000"/>
                <w:sz w:val="20"/>
                <w:szCs w:val="20"/>
                <w:lang w:val="en-GB" w:eastAsia="en-GB"/>
              </w:rPr>
              <w:footnoteReference w:id="161"/>
            </w:r>
            <w:r>
              <w:rPr>
                <w:rFonts w:eastAsia="Times New Roman"/>
                <w:color w:val="000000"/>
                <w:sz w:val="20"/>
                <w:szCs w:val="20"/>
                <w:lang w:val="en-GB" w:eastAsia="en-GB"/>
              </w:rPr>
              <w:t>:</w:t>
            </w:r>
          </w:p>
          <w:p w:rsidR="009D0A28" w:rsidRDefault="009D0A28" w:rsidP="009D0A28">
            <w:pPr>
              <w:pStyle w:val="ListParagraph"/>
              <w:numPr>
                <w:ilvl w:val="0"/>
                <w:numId w:val="50"/>
              </w:numPr>
              <w:ind w:left="200" w:hanging="200"/>
              <w:jc w:val="left"/>
              <w:rPr>
                <w:rFonts w:eastAsia="Times New Roman"/>
                <w:color w:val="000000"/>
                <w:sz w:val="20"/>
                <w:szCs w:val="20"/>
                <w:lang w:val="en-GB" w:eastAsia="en-GB"/>
              </w:rPr>
            </w:pPr>
            <w:r w:rsidRPr="009D0A28">
              <w:rPr>
                <w:rFonts w:eastAsia="Times New Roman"/>
                <w:color w:val="000000"/>
                <w:sz w:val="20"/>
                <w:szCs w:val="20"/>
                <w:lang w:val="en-GB" w:eastAsia="en-GB"/>
              </w:rPr>
              <w:t>The Grenelle de la Mer has strengthened the dia</w:t>
            </w:r>
            <w:r>
              <w:rPr>
                <w:rFonts w:eastAsia="Times New Roman"/>
                <w:color w:val="000000"/>
                <w:sz w:val="20"/>
                <w:szCs w:val="20"/>
                <w:lang w:val="en-GB" w:eastAsia="en-GB"/>
              </w:rPr>
              <w:t xml:space="preserve">logue between NGOs and industry, hence bringing closer </w:t>
            </w:r>
            <w:r w:rsidRPr="009D0A28">
              <w:rPr>
                <w:rFonts w:eastAsia="Times New Roman"/>
                <w:color w:val="000000"/>
                <w:sz w:val="20"/>
                <w:szCs w:val="20"/>
                <w:lang w:val="en-GB" w:eastAsia="en-GB"/>
              </w:rPr>
              <w:t xml:space="preserve">the world of ecology and </w:t>
            </w:r>
            <w:r>
              <w:rPr>
                <w:rFonts w:eastAsia="Times New Roman"/>
                <w:color w:val="000000"/>
                <w:sz w:val="20"/>
                <w:szCs w:val="20"/>
                <w:lang w:val="en-GB" w:eastAsia="en-GB"/>
              </w:rPr>
              <w:t xml:space="preserve">of the </w:t>
            </w:r>
            <w:r w:rsidRPr="009D0A28">
              <w:rPr>
                <w:rFonts w:eastAsia="Times New Roman"/>
                <w:color w:val="000000"/>
                <w:sz w:val="20"/>
                <w:szCs w:val="20"/>
                <w:lang w:val="en-GB" w:eastAsia="en-GB"/>
              </w:rPr>
              <w:t xml:space="preserve"> economy</w:t>
            </w:r>
            <w:r>
              <w:rPr>
                <w:rFonts w:eastAsia="Times New Roman"/>
                <w:color w:val="000000"/>
                <w:sz w:val="20"/>
                <w:szCs w:val="20"/>
                <w:lang w:val="en-GB" w:eastAsia="en-GB"/>
              </w:rPr>
              <w:t>;</w:t>
            </w:r>
          </w:p>
          <w:p w:rsidR="009D0A28" w:rsidRDefault="009D0A28" w:rsidP="009D0A28">
            <w:pPr>
              <w:pStyle w:val="ListParagraph"/>
              <w:numPr>
                <w:ilvl w:val="0"/>
                <w:numId w:val="50"/>
              </w:numPr>
              <w:ind w:left="200" w:hanging="200"/>
              <w:jc w:val="left"/>
              <w:rPr>
                <w:rFonts w:eastAsia="Times New Roman"/>
                <w:color w:val="000000"/>
                <w:sz w:val="20"/>
                <w:szCs w:val="20"/>
                <w:lang w:val="en-GB" w:eastAsia="en-GB"/>
              </w:rPr>
            </w:pPr>
            <w:r w:rsidRPr="009D0A28">
              <w:rPr>
                <w:rFonts w:eastAsia="Times New Roman"/>
                <w:color w:val="000000"/>
                <w:sz w:val="20"/>
                <w:szCs w:val="20"/>
                <w:lang w:val="en-GB" w:eastAsia="en-GB"/>
              </w:rPr>
              <w:t>Working Group</w:t>
            </w:r>
            <w:r>
              <w:rPr>
                <w:rFonts w:eastAsia="Times New Roman"/>
                <w:color w:val="000000"/>
                <w:sz w:val="20"/>
                <w:szCs w:val="20"/>
                <w:lang w:val="en-GB" w:eastAsia="en-GB"/>
              </w:rPr>
              <w:t>s</w:t>
            </w:r>
            <w:r w:rsidRPr="009D0A28">
              <w:rPr>
                <w:rFonts w:eastAsia="Times New Roman"/>
                <w:color w:val="000000"/>
                <w:sz w:val="20"/>
                <w:szCs w:val="20"/>
                <w:lang w:val="en-GB" w:eastAsia="en-GB"/>
              </w:rPr>
              <w:t xml:space="preserve"> </w:t>
            </w:r>
            <w:r>
              <w:rPr>
                <w:rFonts w:eastAsia="Times New Roman"/>
                <w:color w:val="000000"/>
                <w:sz w:val="20"/>
                <w:szCs w:val="20"/>
                <w:lang w:val="en-GB" w:eastAsia="en-GB"/>
              </w:rPr>
              <w:t xml:space="preserve">were </w:t>
            </w:r>
            <w:r w:rsidRPr="009D0A28">
              <w:rPr>
                <w:rFonts w:eastAsia="Times New Roman"/>
                <w:color w:val="000000"/>
                <w:sz w:val="20"/>
                <w:szCs w:val="20"/>
                <w:lang w:val="en-GB" w:eastAsia="en-GB"/>
              </w:rPr>
              <w:t xml:space="preserve">able to </w:t>
            </w:r>
            <w:r>
              <w:rPr>
                <w:rFonts w:eastAsia="Times New Roman"/>
                <w:color w:val="000000"/>
                <w:sz w:val="20"/>
                <w:szCs w:val="20"/>
                <w:lang w:val="en-GB" w:eastAsia="en-GB"/>
              </w:rPr>
              <w:t xml:space="preserve">adopt a more comprehensive approach, hence including </w:t>
            </w:r>
            <w:r w:rsidRPr="009D0A28">
              <w:rPr>
                <w:rFonts w:eastAsia="Times New Roman"/>
                <w:color w:val="000000"/>
                <w:sz w:val="20"/>
                <w:szCs w:val="20"/>
                <w:lang w:val="en-GB" w:eastAsia="en-GB"/>
              </w:rPr>
              <w:t>economic, s</w:t>
            </w:r>
            <w:r>
              <w:rPr>
                <w:rFonts w:eastAsia="Times New Roman"/>
                <w:color w:val="000000"/>
                <w:sz w:val="20"/>
                <w:szCs w:val="20"/>
                <w:lang w:val="en-GB" w:eastAsia="en-GB"/>
              </w:rPr>
              <w:t>ocial and environmental aspects;</w:t>
            </w:r>
          </w:p>
          <w:p w:rsidR="009D0A28" w:rsidRPr="009D0A28" w:rsidRDefault="005573F0" w:rsidP="005573F0">
            <w:pPr>
              <w:pStyle w:val="ListParagraph"/>
              <w:numPr>
                <w:ilvl w:val="0"/>
                <w:numId w:val="50"/>
              </w:numPr>
              <w:ind w:left="200" w:hanging="200"/>
              <w:jc w:val="left"/>
              <w:rPr>
                <w:rFonts w:eastAsia="Times New Roman"/>
                <w:color w:val="000000"/>
                <w:sz w:val="20"/>
                <w:szCs w:val="20"/>
                <w:lang w:val="en-GB" w:eastAsia="en-GB"/>
              </w:rPr>
            </w:pPr>
            <w:r>
              <w:rPr>
                <w:rFonts w:eastAsia="Times New Roman"/>
                <w:color w:val="000000"/>
                <w:sz w:val="20"/>
                <w:szCs w:val="20"/>
                <w:lang w:val="en-GB" w:eastAsia="en-GB"/>
              </w:rPr>
              <w:t>Because of the economic and financial crisis, the economic dimension has prevailed over environmental concerns.</w:t>
            </w:r>
          </w:p>
        </w:tc>
      </w:tr>
    </w:tbl>
    <w:p w:rsidR="00985B03" w:rsidRDefault="00985B03" w:rsidP="00985B03">
      <w:pPr>
        <w:jc w:val="left"/>
        <w:rPr>
          <w:lang w:val="en-GB"/>
        </w:rPr>
      </w:pPr>
    </w:p>
    <w:p w:rsidR="00985B03" w:rsidRDefault="00985B03">
      <w:pPr>
        <w:spacing w:before="0" w:after="120"/>
        <w:ind w:left="720" w:firstLine="697"/>
        <w:rPr>
          <w:lang w:val="en-GB"/>
        </w:rPr>
      </w:pPr>
      <w:r>
        <w:rPr>
          <w:lang w:val="en-GB"/>
        </w:rPr>
        <w:br w:type="page"/>
      </w:r>
    </w:p>
    <w:p w:rsidR="00985B03" w:rsidRPr="00EC0540" w:rsidRDefault="00985B03" w:rsidP="00A472D7">
      <w:pPr>
        <w:rPr>
          <w:lang w:val="en-GB"/>
        </w:rPr>
      </w:pPr>
    </w:p>
    <w:p w:rsidR="007127CC" w:rsidRDefault="007127CC" w:rsidP="007127CC">
      <w:pPr>
        <w:pStyle w:val="Heading1"/>
      </w:pPr>
      <w:bookmarkStart w:id="60" w:name="_Toc369887018"/>
      <w:r>
        <w:t>Annex I – D</w:t>
      </w:r>
      <w:r w:rsidRPr="00FB196B">
        <w:t xml:space="preserve">etailed description of the sources </w:t>
      </w:r>
      <w:r>
        <w:t xml:space="preserve"> on maritime economic activities</w:t>
      </w:r>
      <w:bookmarkEnd w:id="50"/>
      <w:bookmarkEnd w:id="60"/>
      <w:r>
        <w:t xml:space="preserve"> </w:t>
      </w:r>
    </w:p>
    <w:p w:rsidR="007127CC" w:rsidRDefault="007127CC" w:rsidP="007127CC">
      <w:pPr>
        <w:rPr>
          <w:lang w:val="en-GB"/>
        </w:rPr>
      </w:pPr>
      <w:r w:rsidRPr="002D05ED">
        <w:rPr>
          <w:lang w:val="en-GB"/>
        </w:rPr>
        <w:t xml:space="preserve">The following table refers to </w:t>
      </w:r>
      <w:r>
        <w:rPr>
          <w:lang w:val="en-GB"/>
        </w:rPr>
        <w:t xml:space="preserve">section 1.1 </w:t>
      </w:r>
      <w:r w:rsidR="00D8394B">
        <w:rPr>
          <w:lang w:val="en-GB"/>
        </w:rPr>
        <w:t>“</w:t>
      </w:r>
      <w:r>
        <w:rPr>
          <w:lang w:val="en-GB"/>
        </w:rPr>
        <w:t>Overview of relevant maritime economic activities</w:t>
      </w:r>
      <w:r w:rsidR="00D8394B">
        <w:rPr>
          <w:lang w:val="en-GB"/>
        </w:rPr>
        <w:t>”</w:t>
      </w:r>
      <w:r>
        <w:rPr>
          <w:lang w:val="en-GB"/>
        </w:rPr>
        <w:t xml:space="preserve"> (table 1). It provide</w:t>
      </w:r>
      <w:r w:rsidR="00D8394B">
        <w:rPr>
          <w:lang w:val="en-GB"/>
        </w:rPr>
        <w:t>s</w:t>
      </w:r>
      <w:r>
        <w:rPr>
          <w:lang w:val="en-GB"/>
        </w:rPr>
        <w:t xml:space="preserve"> </w:t>
      </w:r>
      <w:r w:rsidR="00F567B9">
        <w:rPr>
          <w:lang w:val="en-GB"/>
        </w:rPr>
        <w:t xml:space="preserve">an overview of relevant figures </w:t>
      </w:r>
      <w:r w:rsidRPr="003F4895">
        <w:rPr>
          <w:lang w:val="en-GB"/>
        </w:rPr>
        <w:t xml:space="preserve">sourced from Eurostat, </w:t>
      </w:r>
      <w:r>
        <w:rPr>
          <w:lang w:val="en-GB"/>
        </w:rPr>
        <w:t xml:space="preserve">Official </w:t>
      </w:r>
      <w:r w:rsidRPr="003F4895">
        <w:rPr>
          <w:lang w:val="en-GB"/>
        </w:rPr>
        <w:t xml:space="preserve">national </w:t>
      </w:r>
      <w:r>
        <w:rPr>
          <w:lang w:val="en-GB"/>
        </w:rPr>
        <w:t>statistical sources</w:t>
      </w:r>
      <w:r w:rsidRPr="003F4895">
        <w:rPr>
          <w:lang w:val="en-GB"/>
        </w:rPr>
        <w:t xml:space="preserve"> or </w:t>
      </w:r>
      <w:r>
        <w:rPr>
          <w:lang w:val="en-GB"/>
        </w:rPr>
        <w:t xml:space="preserve">alternative </w:t>
      </w:r>
      <w:r w:rsidRPr="003F4895">
        <w:rPr>
          <w:lang w:val="en-GB"/>
        </w:rPr>
        <w:t>sources (as indicated by the columns</w:t>
      </w:r>
      <w:r>
        <w:rPr>
          <w:lang w:val="en-GB"/>
        </w:rPr>
        <w:t xml:space="preserve"> of table 1</w:t>
      </w:r>
      <w:r w:rsidRPr="003F4895">
        <w:rPr>
          <w:lang w:val="en-GB"/>
        </w:rPr>
        <w:t xml:space="preserve">). </w:t>
      </w:r>
      <w:r w:rsidR="00F567B9">
        <w:rPr>
          <w:lang w:val="en-GB"/>
        </w:rPr>
        <w:t>Appropriate references are supplied</w:t>
      </w:r>
      <w:r w:rsidR="00E91FCA">
        <w:rPr>
          <w:lang w:val="en-GB"/>
        </w:rPr>
        <w:t xml:space="preserve">. </w:t>
      </w:r>
    </w:p>
    <w:p w:rsidR="007127CC" w:rsidRDefault="007127CC" w:rsidP="007127CC">
      <w:pPr>
        <w:rPr>
          <w:lang w:val="en-GB"/>
        </w:rPr>
      </w:pPr>
    </w:p>
    <w:p w:rsidR="007127CC" w:rsidRDefault="007127CC" w:rsidP="007127CC">
      <w:pPr>
        <w:rPr>
          <w:lang w:val="en-GB"/>
        </w:rPr>
      </w:pPr>
    </w:p>
    <w:p w:rsidR="007127CC" w:rsidRDefault="007127CC" w:rsidP="007127CC">
      <w:pPr>
        <w:rPr>
          <w:lang w:val="en-GB"/>
        </w:rPr>
      </w:pPr>
    </w:p>
    <w:p w:rsidR="007127CC" w:rsidRDefault="007127CC" w:rsidP="007127CC">
      <w:pPr>
        <w:rPr>
          <w:lang w:val="en-GB"/>
        </w:rPr>
        <w:sectPr w:rsidR="007127CC" w:rsidSect="005038E8">
          <w:pgSz w:w="16838" w:h="11906" w:orient="landscape"/>
          <w:pgMar w:top="1134" w:right="1387" w:bottom="1134" w:left="1134" w:header="284" w:footer="93" w:gutter="0"/>
          <w:cols w:space="708"/>
          <w:docGrid w:linePitch="360"/>
        </w:sectPr>
      </w:pPr>
    </w:p>
    <w:p w:rsidR="007127CC" w:rsidRDefault="007127CC" w:rsidP="007127CC">
      <w:pPr>
        <w:pStyle w:val="Caption"/>
      </w:pPr>
      <w:r>
        <w:lastRenderedPageBreak/>
        <w:t>Table 1</w:t>
      </w:r>
      <w:r w:rsidR="00E8042A">
        <w:t>1</w:t>
      </w:r>
      <w:r>
        <w:t xml:space="preserve"> – Selection table of the most relevant figures and detailed references </w:t>
      </w:r>
    </w:p>
    <w:tbl>
      <w:tblPr>
        <w:tblW w:w="14924" w:type="dxa"/>
        <w:tblInd w:w="-72" w:type="dxa"/>
        <w:tblLayout w:type="fixed"/>
        <w:tblCellMar>
          <w:left w:w="70" w:type="dxa"/>
          <w:right w:w="70" w:type="dxa"/>
        </w:tblCellMar>
        <w:tblLook w:val="04A0" w:firstRow="1" w:lastRow="0" w:firstColumn="1" w:lastColumn="0" w:noHBand="0" w:noVBand="1"/>
      </w:tblPr>
      <w:tblGrid>
        <w:gridCol w:w="533"/>
        <w:gridCol w:w="743"/>
        <w:gridCol w:w="851"/>
        <w:gridCol w:w="992"/>
        <w:gridCol w:w="992"/>
        <w:gridCol w:w="888"/>
        <w:gridCol w:w="1365"/>
        <w:gridCol w:w="1276"/>
        <w:gridCol w:w="850"/>
        <w:gridCol w:w="992"/>
        <w:gridCol w:w="1418"/>
        <w:gridCol w:w="1134"/>
        <w:gridCol w:w="850"/>
        <w:gridCol w:w="906"/>
        <w:gridCol w:w="1134"/>
      </w:tblGrid>
      <w:tr w:rsidR="00276BD7" w:rsidRPr="00A7060D" w:rsidTr="007F22B2">
        <w:trPr>
          <w:trHeight w:val="315"/>
          <w:tblHeader/>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6BD7" w:rsidRPr="00A7060D" w:rsidRDefault="00276BD7"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c>
          <w:tcPr>
            <w:tcW w:w="2835" w:type="dxa"/>
            <w:gridSpan w:val="3"/>
            <w:tcBorders>
              <w:top w:val="single" w:sz="4" w:space="0" w:color="auto"/>
              <w:left w:val="nil"/>
              <w:bottom w:val="single" w:sz="4" w:space="0" w:color="auto"/>
              <w:right w:val="single" w:sz="4" w:space="0" w:color="auto"/>
            </w:tcBorders>
            <w:shd w:val="clear" w:color="auto" w:fill="auto"/>
            <w:vAlign w:val="bottom"/>
            <w:hideMark/>
          </w:tcPr>
          <w:p w:rsidR="00276BD7" w:rsidRPr="00A7060D" w:rsidRDefault="00276BD7" w:rsidP="007F22B2">
            <w:pPr>
              <w:spacing w:before="0"/>
              <w:jc w:val="center"/>
              <w:rPr>
                <w:rFonts w:ascii="Calibri" w:eastAsia="Times New Roman" w:hAnsi="Calibri" w:cs="Calibri"/>
                <w:b/>
                <w:color w:val="000000"/>
                <w:sz w:val="20"/>
                <w:szCs w:val="20"/>
                <w:lang w:val="fr-BE" w:eastAsia="fr-BE"/>
              </w:rPr>
            </w:pPr>
            <w:r w:rsidRPr="00A7060D">
              <w:rPr>
                <w:rFonts w:ascii="Calibri" w:eastAsia="Times New Roman" w:hAnsi="Calibri" w:cs="Calibri"/>
                <w:b/>
                <w:color w:val="000000"/>
                <w:sz w:val="20"/>
                <w:szCs w:val="20"/>
                <w:lang w:val="fr-BE" w:eastAsia="fr-BE"/>
              </w:rPr>
              <w:t>Eurostat</w:t>
            </w:r>
          </w:p>
        </w:tc>
        <w:tc>
          <w:tcPr>
            <w:tcW w:w="3529" w:type="dxa"/>
            <w:gridSpan w:val="3"/>
            <w:tcBorders>
              <w:top w:val="single" w:sz="4" w:space="0" w:color="auto"/>
              <w:left w:val="nil"/>
              <w:bottom w:val="single" w:sz="4" w:space="0" w:color="auto"/>
              <w:right w:val="single" w:sz="4" w:space="0" w:color="auto"/>
            </w:tcBorders>
            <w:shd w:val="clear" w:color="auto" w:fill="auto"/>
            <w:vAlign w:val="bottom"/>
            <w:hideMark/>
          </w:tcPr>
          <w:p w:rsidR="00276BD7" w:rsidRPr="00A7060D" w:rsidRDefault="00276BD7" w:rsidP="007F22B2">
            <w:pPr>
              <w:spacing w:before="0"/>
              <w:jc w:val="center"/>
              <w:rPr>
                <w:rFonts w:ascii="Calibri" w:eastAsia="Times New Roman" w:hAnsi="Calibri" w:cs="Calibri"/>
                <w:b/>
                <w:color w:val="000000"/>
                <w:sz w:val="20"/>
                <w:szCs w:val="20"/>
                <w:lang w:val="fr-BE" w:eastAsia="fr-BE"/>
              </w:rPr>
            </w:pPr>
            <w:r w:rsidRPr="00A7060D">
              <w:rPr>
                <w:rFonts w:ascii="Calibri" w:eastAsia="Times New Roman" w:hAnsi="Calibri" w:cs="Calibri"/>
                <w:b/>
                <w:color w:val="000000"/>
                <w:sz w:val="20"/>
                <w:szCs w:val="20"/>
                <w:lang w:val="fr-BE" w:eastAsia="fr-BE"/>
              </w:rPr>
              <w:t>National Sources</w:t>
            </w:r>
          </w:p>
        </w:tc>
        <w:tc>
          <w:tcPr>
            <w:tcW w:w="3260" w:type="dxa"/>
            <w:gridSpan w:val="3"/>
            <w:tcBorders>
              <w:top w:val="single" w:sz="4" w:space="0" w:color="auto"/>
              <w:left w:val="nil"/>
              <w:bottom w:val="single" w:sz="4" w:space="0" w:color="auto"/>
              <w:right w:val="single" w:sz="4" w:space="0" w:color="auto"/>
            </w:tcBorders>
            <w:shd w:val="clear" w:color="auto" w:fill="auto"/>
            <w:vAlign w:val="bottom"/>
            <w:hideMark/>
          </w:tcPr>
          <w:p w:rsidR="00276BD7" w:rsidRPr="00A7060D" w:rsidRDefault="00276BD7" w:rsidP="007F22B2">
            <w:pPr>
              <w:spacing w:before="0"/>
              <w:jc w:val="center"/>
              <w:rPr>
                <w:rFonts w:ascii="Calibri" w:eastAsia="Times New Roman" w:hAnsi="Calibri" w:cs="Calibri"/>
                <w:b/>
                <w:color w:val="000000"/>
                <w:sz w:val="20"/>
                <w:szCs w:val="20"/>
                <w:lang w:val="fr-BE" w:eastAsia="fr-BE"/>
              </w:rPr>
            </w:pPr>
            <w:r w:rsidRPr="00A7060D">
              <w:rPr>
                <w:rFonts w:ascii="Calibri" w:eastAsia="Times New Roman" w:hAnsi="Calibri" w:cs="Calibri"/>
                <w:b/>
                <w:color w:val="000000"/>
                <w:sz w:val="20"/>
                <w:szCs w:val="20"/>
                <w:lang w:val="fr-BE" w:eastAsia="fr-BE"/>
              </w:rPr>
              <w:t>Alternative Sources</w:t>
            </w:r>
          </w:p>
        </w:tc>
        <w:tc>
          <w:tcPr>
            <w:tcW w:w="4024" w:type="dxa"/>
            <w:gridSpan w:val="4"/>
            <w:tcBorders>
              <w:top w:val="single" w:sz="4" w:space="0" w:color="auto"/>
              <w:left w:val="nil"/>
              <w:bottom w:val="single" w:sz="4" w:space="0" w:color="auto"/>
              <w:right w:val="single" w:sz="4" w:space="0" w:color="auto"/>
            </w:tcBorders>
            <w:shd w:val="clear" w:color="auto" w:fill="auto"/>
            <w:vAlign w:val="bottom"/>
            <w:hideMark/>
          </w:tcPr>
          <w:p w:rsidR="00276BD7" w:rsidRPr="00A7060D" w:rsidRDefault="00276BD7" w:rsidP="007F22B2">
            <w:pPr>
              <w:spacing w:before="0"/>
              <w:jc w:val="center"/>
              <w:rPr>
                <w:rFonts w:ascii="Calibri" w:eastAsia="Times New Roman" w:hAnsi="Calibri" w:cs="Calibri"/>
                <w:b/>
                <w:color w:val="000000"/>
                <w:sz w:val="20"/>
                <w:szCs w:val="20"/>
                <w:lang w:val="fr-BE" w:eastAsia="fr-BE"/>
              </w:rPr>
            </w:pPr>
            <w:r w:rsidRPr="00A7060D">
              <w:rPr>
                <w:rFonts w:ascii="Calibri" w:eastAsia="Times New Roman" w:hAnsi="Calibri" w:cs="Calibri"/>
                <w:b/>
                <w:color w:val="000000"/>
                <w:sz w:val="20"/>
                <w:szCs w:val="20"/>
                <w:lang w:val="fr-BE" w:eastAsia="fr-BE"/>
              </w:rPr>
              <w:t>Other Indicators</w:t>
            </w:r>
          </w:p>
        </w:tc>
      </w:tr>
      <w:tr w:rsidR="003D46EA" w:rsidRPr="00A7060D" w:rsidTr="00E8042A">
        <w:trPr>
          <w:trHeight w:val="300"/>
          <w:tblHeader/>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Maritime economic activity</w:t>
            </w:r>
          </w:p>
        </w:tc>
        <w:tc>
          <w:tcPr>
            <w:tcW w:w="851" w:type="dxa"/>
            <w:vMerge w:val="restart"/>
            <w:tcBorders>
              <w:top w:val="single" w:sz="8" w:space="0" w:color="auto"/>
              <w:left w:val="single" w:sz="4" w:space="0" w:color="auto"/>
              <w:bottom w:val="single" w:sz="4" w:space="0" w:color="000000"/>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 xml:space="preserve">GVA </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Employment</w:t>
            </w:r>
          </w:p>
        </w:tc>
        <w:tc>
          <w:tcPr>
            <w:tcW w:w="992" w:type="dxa"/>
            <w:vMerge w:val="restart"/>
            <w:tcBorders>
              <w:top w:val="single" w:sz="8" w:space="0" w:color="auto"/>
              <w:left w:val="single" w:sz="4" w:space="0" w:color="auto"/>
              <w:bottom w:val="single" w:sz="4" w:space="0" w:color="000000"/>
              <w:right w:val="single" w:sz="8"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 xml:space="preserve"> Source &amp; Reference year</w:t>
            </w:r>
          </w:p>
        </w:tc>
        <w:tc>
          <w:tcPr>
            <w:tcW w:w="888" w:type="dxa"/>
            <w:vMerge w:val="restart"/>
            <w:tcBorders>
              <w:top w:val="single" w:sz="8" w:space="0" w:color="auto"/>
              <w:left w:val="single" w:sz="4" w:space="0" w:color="auto"/>
              <w:bottom w:val="single" w:sz="4" w:space="0" w:color="000000"/>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 xml:space="preserve">GVA </w:t>
            </w:r>
          </w:p>
        </w:tc>
        <w:tc>
          <w:tcPr>
            <w:tcW w:w="1365" w:type="dxa"/>
            <w:vMerge w:val="restart"/>
            <w:tcBorders>
              <w:top w:val="single" w:sz="8" w:space="0" w:color="auto"/>
              <w:left w:val="single" w:sz="4" w:space="0" w:color="auto"/>
              <w:bottom w:val="single" w:sz="4" w:space="0" w:color="000000"/>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Employment</w:t>
            </w:r>
          </w:p>
        </w:tc>
        <w:tc>
          <w:tcPr>
            <w:tcW w:w="1276" w:type="dxa"/>
            <w:vMerge w:val="restart"/>
            <w:tcBorders>
              <w:top w:val="single" w:sz="8" w:space="0" w:color="auto"/>
              <w:left w:val="single" w:sz="4" w:space="0" w:color="auto"/>
              <w:bottom w:val="single" w:sz="4" w:space="0" w:color="000000"/>
              <w:right w:val="single" w:sz="8"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 xml:space="preserve"> Source &amp; Reference year</w:t>
            </w:r>
          </w:p>
        </w:tc>
        <w:tc>
          <w:tcPr>
            <w:tcW w:w="850" w:type="dxa"/>
            <w:vMerge w:val="restart"/>
            <w:tcBorders>
              <w:top w:val="nil"/>
              <w:left w:val="single" w:sz="4" w:space="0" w:color="auto"/>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GVA</w:t>
            </w:r>
          </w:p>
        </w:tc>
        <w:tc>
          <w:tcPr>
            <w:tcW w:w="992" w:type="dxa"/>
            <w:vMerge w:val="restart"/>
            <w:tcBorders>
              <w:top w:val="nil"/>
              <w:left w:val="single" w:sz="4" w:space="0" w:color="auto"/>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Employment</w:t>
            </w:r>
          </w:p>
        </w:tc>
        <w:tc>
          <w:tcPr>
            <w:tcW w:w="1418" w:type="dxa"/>
            <w:vMerge w:val="restart"/>
            <w:tcBorders>
              <w:top w:val="nil"/>
              <w:left w:val="single" w:sz="4" w:space="0" w:color="auto"/>
              <w:bottom w:val="single" w:sz="4" w:space="0" w:color="auto"/>
              <w:right w:val="single" w:sz="4" w:space="0" w:color="auto"/>
            </w:tcBorders>
            <w:shd w:val="clear" w:color="000000" w:fill="DBE5F1"/>
            <w:vAlign w:val="center"/>
            <w:hideMark/>
          </w:tcPr>
          <w:p w:rsidR="001B68AA" w:rsidRPr="00A7060D" w:rsidRDefault="001B68AA" w:rsidP="00280A51">
            <w:pPr>
              <w:spacing w:before="0"/>
              <w:ind w:left="-70" w:firstLine="36"/>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 xml:space="preserve"> Source &amp; Reference year</w:t>
            </w:r>
          </w:p>
        </w:tc>
        <w:tc>
          <w:tcPr>
            <w:tcW w:w="1134" w:type="dxa"/>
            <w:vMerge w:val="restart"/>
            <w:tcBorders>
              <w:top w:val="nil"/>
              <w:left w:val="single" w:sz="4" w:space="0" w:color="auto"/>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Number of enterprises</w:t>
            </w:r>
          </w:p>
        </w:tc>
        <w:tc>
          <w:tcPr>
            <w:tcW w:w="850" w:type="dxa"/>
            <w:vMerge w:val="restart"/>
            <w:tcBorders>
              <w:top w:val="nil"/>
              <w:left w:val="single" w:sz="4" w:space="0" w:color="auto"/>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SMEs*</w:t>
            </w:r>
          </w:p>
        </w:tc>
        <w:tc>
          <w:tcPr>
            <w:tcW w:w="906" w:type="dxa"/>
            <w:vMerge w:val="restart"/>
            <w:tcBorders>
              <w:top w:val="nil"/>
              <w:left w:val="single" w:sz="4" w:space="0" w:color="auto"/>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Further indicators</w:t>
            </w:r>
          </w:p>
        </w:tc>
        <w:tc>
          <w:tcPr>
            <w:tcW w:w="1134" w:type="dxa"/>
            <w:vMerge w:val="restart"/>
            <w:tcBorders>
              <w:top w:val="nil"/>
              <w:left w:val="single" w:sz="4" w:space="0" w:color="auto"/>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r w:rsidRPr="00A7060D">
              <w:rPr>
                <w:rFonts w:ascii="Calibri" w:eastAsia="Times New Roman" w:hAnsi="Calibri" w:cs="Calibri"/>
                <w:b/>
                <w:bCs/>
                <w:color w:val="000000"/>
                <w:sz w:val="20"/>
                <w:szCs w:val="20"/>
                <w:lang w:val="fr-BE" w:eastAsia="fr-BE"/>
              </w:rPr>
              <w:t xml:space="preserve"> Source &amp; Reference year</w:t>
            </w:r>
          </w:p>
        </w:tc>
      </w:tr>
      <w:tr w:rsidR="00276BD7" w:rsidRPr="00A7060D" w:rsidTr="007F22B2">
        <w:trPr>
          <w:trHeight w:val="567"/>
          <w:tblHeader/>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992" w:type="dxa"/>
            <w:vMerge/>
            <w:tcBorders>
              <w:top w:val="single" w:sz="8" w:space="0" w:color="auto"/>
              <w:left w:val="single" w:sz="4" w:space="0" w:color="auto"/>
              <w:bottom w:val="single" w:sz="4" w:space="0" w:color="000000"/>
              <w:right w:val="single" w:sz="8"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888" w:type="dxa"/>
            <w:vMerge/>
            <w:tcBorders>
              <w:top w:val="single" w:sz="8" w:space="0" w:color="auto"/>
              <w:left w:val="single" w:sz="4" w:space="0" w:color="auto"/>
              <w:bottom w:val="single" w:sz="4" w:space="0" w:color="000000"/>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1365" w:type="dxa"/>
            <w:vMerge/>
            <w:tcBorders>
              <w:top w:val="single" w:sz="8" w:space="0" w:color="auto"/>
              <w:left w:val="single" w:sz="4" w:space="0" w:color="auto"/>
              <w:bottom w:val="single" w:sz="4" w:space="0" w:color="000000"/>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1276" w:type="dxa"/>
            <w:vMerge/>
            <w:tcBorders>
              <w:top w:val="single" w:sz="8" w:space="0" w:color="auto"/>
              <w:left w:val="single" w:sz="4" w:space="0" w:color="auto"/>
              <w:bottom w:val="single" w:sz="4" w:space="0" w:color="000000"/>
              <w:right w:val="single" w:sz="8"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850" w:type="dxa"/>
            <w:vMerge/>
            <w:tcBorders>
              <w:top w:val="nil"/>
              <w:left w:val="single" w:sz="4" w:space="0" w:color="auto"/>
              <w:bottom w:val="single" w:sz="4" w:space="0" w:color="auto"/>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992" w:type="dxa"/>
            <w:vMerge/>
            <w:tcBorders>
              <w:top w:val="nil"/>
              <w:left w:val="single" w:sz="4" w:space="0" w:color="auto"/>
              <w:bottom w:val="single" w:sz="4" w:space="0" w:color="auto"/>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1418" w:type="dxa"/>
            <w:vMerge/>
            <w:tcBorders>
              <w:top w:val="nil"/>
              <w:left w:val="single" w:sz="4" w:space="0" w:color="auto"/>
              <w:bottom w:val="single" w:sz="4" w:space="0" w:color="auto"/>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1134" w:type="dxa"/>
            <w:vMerge/>
            <w:tcBorders>
              <w:top w:val="nil"/>
              <w:left w:val="single" w:sz="4" w:space="0" w:color="auto"/>
              <w:bottom w:val="single" w:sz="4" w:space="0" w:color="auto"/>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850" w:type="dxa"/>
            <w:vMerge/>
            <w:tcBorders>
              <w:top w:val="nil"/>
              <w:left w:val="single" w:sz="4" w:space="0" w:color="auto"/>
              <w:bottom w:val="single" w:sz="4" w:space="0" w:color="auto"/>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906" w:type="dxa"/>
            <w:vMerge/>
            <w:tcBorders>
              <w:top w:val="nil"/>
              <w:left w:val="single" w:sz="4" w:space="0" w:color="auto"/>
              <w:bottom w:val="single" w:sz="4" w:space="0" w:color="auto"/>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1134" w:type="dxa"/>
            <w:vMerge/>
            <w:tcBorders>
              <w:top w:val="nil"/>
              <w:left w:val="single" w:sz="4" w:space="0" w:color="auto"/>
              <w:bottom w:val="single" w:sz="4" w:space="0" w:color="auto"/>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r>
      <w:tr w:rsidR="003D46EA" w:rsidRPr="00A7060D" w:rsidTr="00E8042A">
        <w:trPr>
          <w:trHeight w:val="480"/>
          <w:tblHeader/>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1B68AA" w:rsidRPr="00A7060D" w:rsidRDefault="001B68AA" w:rsidP="001B68AA">
            <w:pPr>
              <w:spacing w:before="0"/>
              <w:jc w:val="left"/>
              <w:rPr>
                <w:rFonts w:ascii="Calibri" w:eastAsia="Times New Roman" w:hAnsi="Calibri" w:cs="Calibri"/>
                <w:b/>
                <w:bCs/>
                <w:color w:val="000000"/>
                <w:sz w:val="20"/>
                <w:szCs w:val="20"/>
                <w:lang w:val="fr-BE" w:eastAsia="fr-BE"/>
              </w:rPr>
            </w:pPr>
          </w:p>
        </w:tc>
        <w:tc>
          <w:tcPr>
            <w:tcW w:w="851" w:type="dxa"/>
            <w:tcBorders>
              <w:top w:val="nil"/>
              <w:left w:val="nil"/>
              <w:bottom w:val="single" w:sz="4" w:space="0" w:color="auto"/>
              <w:right w:val="single" w:sz="4" w:space="0" w:color="auto"/>
            </w:tcBorders>
            <w:shd w:val="clear" w:color="000000" w:fill="DBE5F1"/>
            <w:vAlign w:val="center"/>
            <w:hideMark/>
          </w:tcPr>
          <w:p w:rsidR="001B68AA" w:rsidRPr="00A7060D" w:rsidRDefault="001B68AA" w:rsidP="00A7060D">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w:t>
            </w:r>
            <w:r w:rsidR="00A7060D">
              <w:rPr>
                <w:rFonts w:ascii="Calibri" w:eastAsia="Times New Roman" w:hAnsi="Calibri" w:cs="Calibri"/>
                <w:color w:val="000000"/>
                <w:sz w:val="20"/>
                <w:szCs w:val="20"/>
                <w:lang w:val="fr-BE" w:eastAsia="fr-BE"/>
              </w:rPr>
              <w:t>€</w:t>
            </w:r>
            <w:r w:rsidRPr="00A7060D">
              <w:rPr>
                <w:rFonts w:ascii="Calibri" w:eastAsia="Times New Roman" w:hAnsi="Calibri" w:cs="Calibri"/>
                <w:color w:val="000000"/>
                <w:sz w:val="20"/>
                <w:szCs w:val="20"/>
                <w:lang w:val="fr-BE" w:eastAsia="fr-BE"/>
              </w:rPr>
              <w:t>, million)</w:t>
            </w:r>
          </w:p>
        </w:tc>
        <w:tc>
          <w:tcPr>
            <w:tcW w:w="992" w:type="dxa"/>
            <w:tcBorders>
              <w:top w:val="nil"/>
              <w:left w:val="nil"/>
              <w:bottom w:val="single" w:sz="4" w:space="0" w:color="auto"/>
              <w:right w:val="single" w:sz="4" w:space="0" w:color="auto"/>
            </w:tcBorders>
            <w:shd w:val="clear" w:color="000000" w:fill="DBE5F1"/>
            <w:vAlign w:val="center"/>
            <w:hideMark/>
          </w:tcPr>
          <w:p w:rsidR="001B68AA" w:rsidRPr="00A7060D" w:rsidRDefault="00E44638"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Total number</w:t>
            </w:r>
            <w:r w:rsidR="001B68AA" w:rsidRPr="00A7060D">
              <w:rPr>
                <w:rFonts w:ascii="Calibri" w:eastAsia="Times New Roman" w:hAnsi="Calibri" w:cs="Calibri"/>
                <w:color w:val="000000"/>
                <w:sz w:val="20"/>
                <w:szCs w:val="20"/>
                <w:lang w:val="fr-BE" w:eastAsia="fr-BE"/>
              </w:rPr>
              <w:t> </w:t>
            </w:r>
          </w:p>
        </w:tc>
        <w:tc>
          <w:tcPr>
            <w:tcW w:w="992" w:type="dxa"/>
            <w:tcBorders>
              <w:top w:val="nil"/>
              <w:left w:val="nil"/>
              <w:bottom w:val="single" w:sz="4" w:space="0" w:color="auto"/>
              <w:right w:val="single" w:sz="8"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88" w:type="dxa"/>
            <w:tcBorders>
              <w:top w:val="nil"/>
              <w:left w:val="single" w:sz="4" w:space="0" w:color="auto"/>
              <w:bottom w:val="single" w:sz="4" w:space="0" w:color="auto"/>
              <w:right w:val="single" w:sz="4" w:space="0" w:color="auto"/>
            </w:tcBorders>
            <w:shd w:val="clear" w:color="000000" w:fill="DBE5F1"/>
            <w:vAlign w:val="center"/>
            <w:hideMark/>
          </w:tcPr>
          <w:p w:rsidR="001B68AA" w:rsidRPr="00A7060D" w:rsidRDefault="001B68AA" w:rsidP="00A7060D">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w:t>
            </w:r>
            <w:r w:rsidR="00A7060D">
              <w:rPr>
                <w:rFonts w:ascii="Calibri" w:eastAsia="Times New Roman" w:hAnsi="Calibri" w:cs="Calibri"/>
                <w:color w:val="000000"/>
                <w:sz w:val="20"/>
                <w:szCs w:val="20"/>
                <w:lang w:val="fr-BE" w:eastAsia="fr-BE"/>
              </w:rPr>
              <w:t>€</w:t>
            </w:r>
            <w:r w:rsidRPr="00A7060D">
              <w:rPr>
                <w:rFonts w:ascii="Calibri" w:eastAsia="Times New Roman" w:hAnsi="Calibri" w:cs="Calibri"/>
                <w:color w:val="000000"/>
                <w:sz w:val="20"/>
                <w:szCs w:val="20"/>
                <w:lang w:val="fr-BE" w:eastAsia="fr-BE"/>
              </w:rPr>
              <w:t>, million)</w:t>
            </w:r>
          </w:p>
        </w:tc>
        <w:tc>
          <w:tcPr>
            <w:tcW w:w="1365" w:type="dxa"/>
            <w:tcBorders>
              <w:top w:val="nil"/>
              <w:left w:val="nil"/>
              <w:bottom w:val="single" w:sz="4" w:space="0" w:color="auto"/>
              <w:right w:val="single" w:sz="4" w:space="0" w:color="auto"/>
            </w:tcBorders>
            <w:shd w:val="clear" w:color="000000" w:fill="DBE5F1"/>
            <w:vAlign w:val="center"/>
            <w:hideMark/>
          </w:tcPr>
          <w:p w:rsidR="001B68AA" w:rsidRPr="00A7060D" w:rsidRDefault="00E44638"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Total number</w:t>
            </w:r>
            <w:r w:rsidR="001B68AA" w:rsidRPr="00A7060D">
              <w:rPr>
                <w:rFonts w:ascii="Calibri" w:eastAsia="Times New Roman" w:hAnsi="Calibri" w:cs="Calibri"/>
                <w:color w:val="000000"/>
                <w:sz w:val="20"/>
                <w:szCs w:val="20"/>
                <w:lang w:val="fr-BE" w:eastAsia="fr-BE"/>
              </w:rPr>
              <w:t> </w:t>
            </w:r>
          </w:p>
        </w:tc>
        <w:tc>
          <w:tcPr>
            <w:tcW w:w="1276" w:type="dxa"/>
            <w:tcBorders>
              <w:top w:val="nil"/>
              <w:left w:val="nil"/>
              <w:bottom w:val="single" w:sz="4" w:space="0" w:color="auto"/>
              <w:right w:val="single" w:sz="8"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
                <w:bCs/>
                <w:color w:val="000000"/>
                <w:sz w:val="20"/>
                <w:szCs w:val="20"/>
                <w:lang w:val="fr-BE" w:eastAsia="fr-BE"/>
              </w:rPr>
            </w:pPr>
          </w:p>
        </w:tc>
        <w:tc>
          <w:tcPr>
            <w:tcW w:w="850" w:type="dxa"/>
            <w:tcBorders>
              <w:top w:val="nil"/>
              <w:left w:val="single" w:sz="4" w:space="0" w:color="auto"/>
              <w:bottom w:val="single" w:sz="4" w:space="0" w:color="auto"/>
              <w:right w:val="single" w:sz="4" w:space="0" w:color="auto"/>
            </w:tcBorders>
            <w:shd w:val="clear" w:color="000000" w:fill="DBE5F1"/>
            <w:vAlign w:val="center"/>
            <w:hideMark/>
          </w:tcPr>
          <w:p w:rsidR="001B68AA" w:rsidRPr="00A7060D" w:rsidRDefault="001B68AA" w:rsidP="00A7060D">
            <w:pPr>
              <w:spacing w:before="0"/>
              <w:jc w:val="center"/>
              <w:rPr>
                <w:rFonts w:ascii="Calibri" w:eastAsia="Times New Roman" w:hAnsi="Calibri" w:cs="Calibri"/>
                <w:bCs/>
                <w:color w:val="000000"/>
                <w:sz w:val="20"/>
                <w:szCs w:val="20"/>
                <w:lang w:val="fr-BE" w:eastAsia="fr-BE"/>
              </w:rPr>
            </w:pPr>
            <w:r w:rsidRPr="00A7060D">
              <w:rPr>
                <w:rFonts w:ascii="Calibri" w:eastAsia="Times New Roman" w:hAnsi="Calibri" w:cs="Calibri"/>
                <w:bCs/>
                <w:color w:val="000000"/>
                <w:sz w:val="20"/>
                <w:szCs w:val="20"/>
                <w:lang w:val="fr-BE" w:eastAsia="fr-BE"/>
              </w:rPr>
              <w:t>(</w:t>
            </w:r>
            <w:r w:rsidR="00A7060D">
              <w:rPr>
                <w:rFonts w:ascii="Calibri" w:eastAsia="Times New Roman" w:hAnsi="Calibri" w:cs="Calibri"/>
                <w:bCs/>
                <w:color w:val="000000"/>
                <w:sz w:val="20"/>
                <w:szCs w:val="20"/>
                <w:lang w:val="fr-BE" w:eastAsia="fr-BE"/>
              </w:rPr>
              <w:t>€</w:t>
            </w:r>
            <w:r w:rsidRPr="00A7060D">
              <w:rPr>
                <w:rFonts w:ascii="Calibri" w:eastAsia="Times New Roman" w:hAnsi="Calibri" w:cs="Calibri"/>
                <w:bCs/>
                <w:color w:val="000000"/>
                <w:sz w:val="20"/>
                <w:szCs w:val="20"/>
                <w:lang w:val="fr-BE" w:eastAsia="fr-BE"/>
              </w:rPr>
              <w:t>, million)</w:t>
            </w:r>
          </w:p>
        </w:tc>
        <w:tc>
          <w:tcPr>
            <w:tcW w:w="992" w:type="dxa"/>
            <w:tcBorders>
              <w:top w:val="nil"/>
              <w:left w:val="nil"/>
              <w:bottom w:val="single" w:sz="4" w:space="0" w:color="auto"/>
              <w:right w:val="single" w:sz="4" w:space="0" w:color="auto"/>
            </w:tcBorders>
            <w:shd w:val="clear" w:color="000000" w:fill="DBE5F1"/>
            <w:vAlign w:val="center"/>
            <w:hideMark/>
          </w:tcPr>
          <w:p w:rsidR="001B68AA" w:rsidRPr="00A7060D" w:rsidRDefault="00E44638" w:rsidP="001B68AA">
            <w:pPr>
              <w:spacing w:before="0"/>
              <w:jc w:val="center"/>
              <w:rPr>
                <w:rFonts w:ascii="Calibri" w:eastAsia="Times New Roman" w:hAnsi="Calibri" w:cs="Calibri"/>
                <w:bCs/>
                <w:color w:val="000000"/>
                <w:sz w:val="20"/>
                <w:szCs w:val="20"/>
                <w:lang w:val="fr-BE" w:eastAsia="fr-BE"/>
              </w:rPr>
            </w:pPr>
            <w:r w:rsidRPr="00A7060D">
              <w:rPr>
                <w:rFonts w:ascii="Calibri" w:eastAsia="Times New Roman" w:hAnsi="Calibri" w:cs="Calibri"/>
                <w:bCs/>
                <w:color w:val="000000"/>
                <w:sz w:val="20"/>
                <w:szCs w:val="20"/>
                <w:lang w:val="fr-BE" w:eastAsia="fr-BE"/>
              </w:rPr>
              <w:t>Total number</w:t>
            </w:r>
            <w:r w:rsidR="001B68AA" w:rsidRPr="00A7060D">
              <w:rPr>
                <w:rFonts w:ascii="Calibri" w:eastAsia="Times New Roman" w:hAnsi="Calibri" w:cs="Calibri"/>
                <w:bCs/>
                <w:color w:val="000000"/>
                <w:sz w:val="20"/>
                <w:szCs w:val="20"/>
                <w:lang w:val="fr-BE" w:eastAsia="fr-BE"/>
              </w:rPr>
              <w:t> </w:t>
            </w:r>
          </w:p>
        </w:tc>
        <w:tc>
          <w:tcPr>
            <w:tcW w:w="1418" w:type="dxa"/>
            <w:tcBorders>
              <w:top w:val="nil"/>
              <w:left w:val="nil"/>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Cs/>
                <w:color w:val="000000"/>
                <w:sz w:val="20"/>
                <w:szCs w:val="20"/>
                <w:lang w:val="fr-BE" w:eastAsia="fr-BE"/>
              </w:rPr>
            </w:pPr>
            <w:r w:rsidRPr="00A7060D">
              <w:rPr>
                <w:rFonts w:ascii="Calibri" w:eastAsia="Times New Roman" w:hAnsi="Calibri" w:cs="Calibri"/>
                <w:bCs/>
                <w:color w:val="000000"/>
                <w:sz w:val="20"/>
                <w:szCs w:val="20"/>
                <w:lang w:val="fr-BE" w:eastAsia="fr-BE"/>
              </w:rPr>
              <w:t> </w:t>
            </w:r>
          </w:p>
        </w:tc>
        <w:tc>
          <w:tcPr>
            <w:tcW w:w="1134" w:type="dxa"/>
            <w:tcBorders>
              <w:top w:val="nil"/>
              <w:left w:val="nil"/>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Cs/>
                <w:color w:val="000000"/>
                <w:sz w:val="20"/>
                <w:szCs w:val="20"/>
                <w:lang w:val="fr-BE" w:eastAsia="fr-BE"/>
              </w:rPr>
            </w:pPr>
            <w:r w:rsidRPr="00A7060D">
              <w:rPr>
                <w:rFonts w:ascii="Calibri" w:eastAsia="Times New Roman" w:hAnsi="Calibri" w:cs="Calibri"/>
                <w:bCs/>
                <w:color w:val="000000"/>
                <w:sz w:val="20"/>
                <w:szCs w:val="20"/>
                <w:lang w:val="fr-BE" w:eastAsia="fr-BE"/>
              </w:rPr>
              <w:t> </w:t>
            </w:r>
          </w:p>
        </w:tc>
        <w:tc>
          <w:tcPr>
            <w:tcW w:w="850" w:type="dxa"/>
            <w:tcBorders>
              <w:top w:val="nil"/>
              <w:left w:val="nil"/>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Cs/>
                <w:color w:val="000000"/>
                <w:sz w:val="20"/>
                <w:szCs w:val="20"/>
                <w:lang w:val="fr-BE" w:eastAsia="fr-BE"/>
              </w:rPr>
            </w:pPr>
            <w:r w:rsidRPr="00A7060D">
              <w:rPr>
                <w:rFonts w:ascii="Calibri" w:eastAsia="Times New Roman" w:hAnsi="Calibri" w:cs="Calibri"/>
                <w:bCs/>
                <w:color w:val="000000"/>
                <w:sz w:val="20"/>
                <w:szCs w:val="20"/>
                <w:lang w:val="fr-BE" w:eastAsia="fr-BE"/>
              </w:rPr>
              <w:t> </w:t>
            </w:r>
          </w:p>
        </w:tc>
        <w:tc>
          <w:tcPr>
            <w:tcW w:w="906" w:type="dxa"/>
            <w:tcBorders>
              <w:top w:val="nil"/>
              <w:left w:val="nil"/>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Cs/>
                <w:color w:val="000000"/>
                <w:sz w:val="20"/>
                <w:szCs w:val="20"/>
                <w:lang w:val="fr-BE" w:eastAsia="fr-BE"/>
              </w:rPr>
            </w:pPr>
            <w:r w:rsidRPr="00A7060D">
              <w:rPr>
                <w:rFonts w:ascii="Calibri" w:eastAsia="Times New Roman" w:hAnsi="Calibri" w:cs="Calibri"/>
                <w:bCs/>
                <w:color w:val="000000"/>
                <w:sz w:val="20"/>
                <w:szCs w:val="20"/>
                <w:lang w:val="fr-BE" w:eastAsia="fr-BE"/>
              </w:rPr>
              <w:t> </w:t>
            </w:r>
          </w:p>
        </w:tc>
        <w:tc>
          <w:tcPr>
            <w:tcW w:w="1134" w:type="dxa"/>
            <w:tcBorders>
              <w:top w:val="nil"/>
              <w:left w:val="nil"/>
              <w:bottom w:val="single" w:sz="4" w:space="0" w:color="auto"/>
              <w:right w:val="single" w:sz="4" w:space="0" w:color="auto"/>
            </w:tcBorders>
            <w:shd w:val="clear" w:color="000000" w:fill="DBE5F1"/>
            <w:vAlign w:val="center"/>
            <w:hideMark/>
          </w:tcPr>
          <w:p w:rsidR="001B68AA" w:rsidRPr="00A7060D" w:rsidRDefault="001B68AA" w:rsidP="001B68AA">
            <w:pPr>
              <w:spacing w:before="0"/>
              <w:jc w:val="center"/>
              <w:rPr>
                <w:rFonts w:ascii="Calibri" w:eastAsia="Times New Roman" w:hAnsi="Calibri" w:cs="Calibri"/>
                <w:bCs/>
                <w:color w:val="000000"/>
                <w:sz w:val="20"/>
                <w:szCs w:val="20"/>
                <w:lang w:val="fr-BE" w:eastAsia="fr-BE"/>
              </w:rPr>
            </w:pPr>
            <w:r w:rsidRPr="00A7060D">
              <w:rPr>
                <w:rFonts w:ascii="Calibri" w:eastAsia="Times New Roman" w:hAnsi="Calibri" w:cs="Calibri"/>
                <w:bCs/>
                <w:color w:val="000000"/>
                <w:sz w:val="20"/>
                <w:szCs w:val="20"/>
                <w:lang w:val="fr-BE" w:eastAsia="fr-BE"/>
              </w:rPr>
              <w:t> </w:t>
            </w:r>
          </w:p>
        </w:tc>
      </w:tr>
      <w:tr w:rsidR="003D46EA" w:rsidRPr="00A7060D" w:rsidTr="00E8042A">
        <w:trPr>
          <w:trHeight w:val="300"/>
        </w:trPr>
        <w:tc>
          <w:tcPr>
            <w:tcW w:w="1276"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rsidR="001B68AA" w:rsidRPr="00A7060D" w:rsidRDefault="001B68AA" w:rsidP="001B68AA">
            <w:pPr>
              <w:spacing w:before="0"/>
              <w:jc w:val="center"/>
              <w:rPr>
                <w:rFonts w:ascii="Calibri" w:eastAsia="Times New Roman" w:hAnsi="Calibri" w:cs="Calibri"/>
                <w:b/>
                <w:color w:val="FFFFFF"/>
                <w:sz w:val="20"/>
                <w:szCs w:val="20"/>
                <w:lang w:val="fr-BE" w:eastAsia="fr-BE"/>
              </w:rPr>
            </w:pPr>
            <w:r w:rsidRPr="00A7060D">
              <w:rPr>
                <w:rFonts w:ascii="Calibri" w:eastAsia="Times New Roman" w:hAnsi="Calibri" w:cs="Calibri"/>
                <w:b/>
                <w:color w:val="FFFFFF"/>
                <w:sz w:val="20"/>
                <w:szCs w:val="20"/>
                <w:lang w:val="fr-BE" w:eastAsia="fr-BE"/>
              </w:rPr>
              <w:t>0. Shipbuilding</w:t>
            </w:r>
          </w:p>
        </w:tc>
        <w:tc>
          <w:tcPr>
            <w:tcW w:w="851" w:type="dxa"/>
            <w:tcBorders>
              <w:top w:val="nil"/>
              <w:left w:val="nil"/>
              <w:bottom w:val="single" w:sz="4" w:space="0" w:color="auto"/>
              <w:right w:val="single" w:sz="4"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b/>
                <w:color w:val="FFFFFF"/>
                <w:sz w:val="20"/>
                <w:szCs w:val="20"/>
                <w:lang w:val="fr-BE" w:eastAsia="fr-BE"/>
              </w:rPr>
            </w:pPr>
            <w:r w:rsidRPr="00A7060D">
              <w:rPr>
                <w:rFonts w:ascii="Calibri" w:eastAsia="Times New Roman" w:hAnsi="Calibri" w:cs="Calibri"/>
                <w:b/>
                <w:color w:val="FFFFFF"/>
                <w:sz w:val="20"/>
                <w:szCs w:val="20"/>
                <w:lang w:val="fr-BE" w:eastAsia="fr-BE"/>
              </w:rPr>
              <w:t> </w:t>
            </w:r>
          </w:p>
        </w:tc>
        <w:tc>
          <w:tcPr>
            <w:tcW w:w="992" w:type="dxa"/>
            <w:tcBorders>
              <w:top w:val="nil"/>
              <w:left w:val="nil"/>
              <w:bottom w:val="single" w:sz="4" w:space="0" w:color="auto"/>
              <w:right w:val="single" w:sz="4"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992" w:type="dxa"/>
            <w:tcBorders>
              <w:top w:val="nil"/>
              <w:left w:val="nil"/>
              <w:bottom w:val="single" w:sz="4" w:space="0" w:color="auto"/>
              <w:right w:val="single" w:sz="8"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888" w:type="dxa"/>
            <w:tcBorders>
              <w:top w:val="nil"/>
              <w:left w:val="single" w:sz="4" w:space="0" w:color="auto"/>
              <w:bottom w:val="single" w:sz="4" w:space="0" w:color="auto"/>
              <w:right w:val="nil"/>
            </w:tcBorders>
            <w:shd w:val="clear" w:color="000000" w:fill="0070C0"/>
            <w:vAlign w:val="center"/>
            <w:hideMark/>
          </w:tcPr>
          <w:p w:rsidR="001B68AA" w:rsidRPr="00A7060D" w:rsidRDefault="001B68AA" w:rsidP="001B68AA">
            <w:pPr>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1365" w:type="dxa"/>
            <w:tcBorders>
              <w:top w:val="nil"/>
              <w:left w:val="single" w:sz="4" w:space="0" w:color="auto"/>
              <w:bottom w:val="single" w:sz="4" w:space="0" w:color="auto"/>
              <w:right w:val="nil"/>
            </w:tcBorders>
            <w:shd w:val="clear" w:color="000000" w:fill="0070C0"/>
            <w:vAlign w:val="center"/>
            <w:hideMark/>
          </w:tcPr>
          <w:p w:rsidR="001B68AA" w:rsidRPr="00A7060D" w:rsidRDefault="001B68AA" w:rsidP="001B68AA">
            <w:pPr>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1276" w:type="dxa"/>
            <w:tcBorders>
              <w:top w:val="nil"/>
              <w:left w:val="single" w:sz="4" w:space="0" w:color="auto"/>
              <w:bottom w:val="single" w:sz="4" w:space="0" w:color="auto"/>
              <w:right w:val="single" w:sz="8"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850" w:type="dxa"/>
            <w:tcBorders>
              <w:top w:val="nil"/>
              <w:left w:val="single" w:sz="4" w:space="0" w:color="auto"/>
              <w:bottom w:val="single" w:sz="4" w:space="0" w:color="auto"/>
              <w:right w:val="single" w:sz="4"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92" w:type="dxa"/>
            <w:tcBorders>
              <w:top w:val="nil"/>
              <w:left w:val="nil"/>
              <w:bottom w:val="single" w:sz="4" w:space="0" w:color="auto"/>
              <w:right w:val="single" w:sz="4"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418" w:type="dxa"/>
            <w:tcBorders>
              <w:top w:val="nil"/>
              <w:left w:val="nil"/>
              <w:bottom w:val="single" w:sz="4" w:space="0" w:color="auto"/>
              <w:right w:val="single" w:sz="4"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850" w:type="dxa"/>
            <w:tcBorders>
              <w:top w:val="nil"/>
              <w:left w:val="nil"/>
              <w:bottom w:val="single" w:sz="4" w:space="0" w:color="auto"/>
              <w:right w:val="single" w:sz="4"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06" w:type="dxa"/>
            <w:tcBorders>
              <w:top w:val="nil"/>
              <w:left w:val="nil"/>
              <w:bottom w:val="single" w:sz="4" w:space="0" w:color="auto"/>
              <w:right w:val="single" w:sz="4"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1B68AA" w:rsidRPr="00A7060D" w:rsidRDefault="001B68AA"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r>
      <w:tr w:rsidR="00276BD7" w:rsidRPr="00A7060D" w:rsidTr="007F22B2">
        <w:trPr>
          <w:trHeight w:val="144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0.1</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245C8F" w:rsidP="00245C8F">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Shipbuilding (in</w:t>
            </w:r>
            <w:r w:rsidR="001B68AA" w:rsidRPr="00A7060D">
              <w:rPr>
                <w:rFonts w:ascii="Calibri" w:eastAsia="Times New Roman" w:hAnsi="Calibri" w:cs="Calibri"/>
                <w:color w:val="000000"/>
                <w:sz w:val="20"/>
                <w:szCs w:val="20"/>
                <w:lang w:val="en-GB" w:eastAsia="fr-BE"/>
              </w:rPr>
              <w:t>cl. leisure boats) and ship repair</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5D25F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w:t>
            </w:r>
            <w:r w:rsidR="00A07D79" w:rsidRPr="00A7060D">
              <w:rPr>
                <w:rFonts w:ascii="Calibri" w:eastAsia="Times New Roman" w:hAnsi="Calibri" w:cs="Calibri"/>
                <w:color w:val="000000"/>
                <w:sz w:val="20"/>
                <w:szCs w:val="20"/>
                <w:lang w:val="fr-BE" w:eastAsia="fr-BE"/>
              </w:rPr>
              <w:t>,</w:t>
            </w:r>
            <w:r w:rsidRPr="00A7060D">
              <w:rPr>
                <w:rFonts w:ascii="Calibri" w:eastAsia="Times New Roman" w:hAnsi="Calibri" w:cs="Calibri"/>
                <w:color w:val="000000"/>
                <w:sz w:val="20"/>
                <w:szCs w:val="20"/>
                <w:lang w:val="fr-BE" w:eastAsia="fr-BE"/>
              </w:rPr>
              <w:t>472</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5D25F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26</w:t>
            </w:r>
            <w:r w:rsidR="00A07D79" w:rsidRPr="00A7060D">
              <w:rPr>
                <w:rFonts w:ascii="Calibri" w:eastAsia="Times New Roman" w:hAnsi="Calibri" w:cs="Calibri"/>
                <w:color w:val="000000"/>
                <w:sz w:val="20"/>
                <w:szCs w:val="20"/>
                <w:lang w:val="fr-BE" w:eastAsia="fr-BE"/>
              </w:rPr>
              <w:t>,</w:t>
            </w:r>
            <w:r w:rsidRPr="00A7060D">
              <w:rPr>
                <w:rFonts w:ascii="Calibri" w:eastAsia="Times New Roman" w:hAnsi="Calibri" w:cs="Calibri"/>
                <w:color w:val="000000"/>
                <w:sz w:val="20"/>
                <w:szCs w:val="20"/>
                <w:lang w:val="fr-BE" w:eastAsia="fr-BE"/>
              </w:rPr>
              <w:t>631</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Eurostat, data for 2010</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276"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16000 (excluding suppliers and subcontractors)</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Le Cluster Maritime Français, 2011, http://www.cluster-maritime.fr/article.php?id=14</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101</w:t>
            </w:r>
            <w:r w:rsidR="00245C8F" w:rsidRPr="00A7060D">
              <w:rPr>
                <w:rStyle w:val="FootnoteReference"/>
                <w:rFonts w:ascii="Calibri" w:eastAsia="Times New Roman" w:hAnsi="Calibri" w:cs="Calibri"/>
                <w:color w:val="000000"/>
                <w:sz w:val="20"/>
                <w:szCs w:val="20"/>
                <w:lang w:val="fr-BE" w:eastAsia="fr-BE"/>
              </w:rPr>
              <w:footnoteReference w:id="162"/>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Amadeus database</w:t>
            </w:r>
          </w:p>
        </w:tc>
      </w:tr>
      <w:tr w:rsidR="00097299" w:rsidRPr="00A7060D" w:rsidTr="007F22B2">
        <w:trPr>
          <w:trHeight w:val="120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0.2</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Construction of water projects</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687</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4,980</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Eurostat, data for 2010</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719</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4,362</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2010 National statistics for NACE code 42.91 (construction of water projects)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292</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Insee.fr, 2010</w:t>
            </w:r>
          </w:p>
        </w:tc>
      </w:tr>
      <w:tr w:rsidR="003D46EA" w:rsidRPr="00A7060D" w:rsidTr="00E8042A">
        <w:trPr>
          <w:trHeight w:val="300"/>
        </w:trPr>
        <w:tc>
          <w:tcPr>
            <w:tcW w:w="2127" w:type="dxa"/>
            <w:gridSpan w:val="3"/>
            <w:tcBorders>
              <w:top w:val="single" w:sz="4" w:space="0" w:color="auto"/>
              <w:left w:val="single" w:sz="4" w:space="0" w:color="auto"/>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b/>
                <w:bCs/>
                <w:color w:val="FFFFFF"/>
                <w:sz w:val="20"/>
                <w:szCs w:val="20"/>
                <w:lang w:val="fr-BE" w:eastAsia="fr-BE"/>
              </w:rPr>
              <w:lastRenderedPageBreak/>
              <w:t>1. Maritime transport</w:t>
            </w:r>
          </w:p>
        </w:tc>
        <w:tc>
          <w:tcPr>
            <w:tcW w:w="992" w:type="dxa"/>
            <w:tcBorders>
              <w:top w:val="nil"/>
              <w:left w:val="nil"/>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92" w:type="dxa"/>
            <w:tcBorders>
              <w:top w:val="nil"/>
              <w:left w:val="nil"/>
              <w:bottom w:val="single" w:sz="4" w:space="0" w:color="auto"/>
              <w:right w:val="single" w:sz="8" w:space="0" w:color="auto"/>
            </w:tcBorders>
            <w:shd w:val="clear" w:color="000000" w:fill="006DB6"/>
            <w:vAlign w:val="center"/>
            <w:hideMark/>
          </w:tcPr>
          <w:p w:rsidR="00893B69" w:rsidRPr="00A7060D" w:rsidRDefault="00893B69" w:rsidP="00A7060D">
            <w:pPr>
              <w:keepNext/>
              <w:keepLines/>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88" w:type="dxa"/>
            <w:tcBorders>
              <w:top w:val="nil"/>
              <w:left w:val="single" w:sz="4" w:space="0" w:color="auto"/>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1365" w:type="dxa"/>
            <w:tcBorders>
              <w:top w:val="nil"/>
              <w:left w:val="nil"/>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276" w:type="dxa"/>
            <w:tcBorders>
              <w:top w:val="nil"/>
              <w:left w:val="nil"/>
              <w:bottom w:val="single" w:sz="4" w:space="0" w:color="auto"/>
              <w:right w:val="single" w:sz="8" w:space="0" w:color="auto"/>
            </w:tcBorders>
            <w:shd w:val="clear" w:color="000000" w:fill="006DB6"/>
            <w:vAlign w:val="center"/>
            <w:hideMark/>
          </w:tcPr>
          <w:p w:rsidR="00893B69" w:rsidRPr="00A7060D" w:rsidRDefault="00893B69" w:rsidP="00A7060D">
            <w:pPr>
              <w:keepNext/>
              <w:keepLines/>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50" w:type="dxa"/>
            <w:tcBorders>
              <w:top w:val="nil"/>
              <w:left w:val="single" w:sz="4" w:space="0" w:color="auto"/>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92" w:type="dxa"/>
            <w:tcBorders>
              <w:top w:val="nil"/>
              <w:left w:val="nil"/>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50" w:type="dxa"/>
            <w:tcBorders>
              <w:top w:val="nil"/>
              <w:left w:val="nil"/>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000000" w:fill="006DB6"/>
            <w:vAlign w:val="center"/>
            <w:hideMark/>
          </w:tcPr>
          <w:p w:rsidR="00893B69" w:rsidRPr="00A7060D" w:rsidRDefault="00893B69" w:rsidP="00A7060D">
            <w:pPr>
              <w:keepNext/>
              <w:keepLines/>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r>
      <w:tr w:rsidR="00097299" w:rsidRPr="00EC0540" w:rsidTr="007F22B2">
        <w:trPr>
          <w:trHeight w:val="2276"/>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1.1</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Deep-sea shipping</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1,460</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14,641</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A7060D">
            <w:pPr>
              <w:keepNext/>
              <w:keepLines/>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Eurostat, data for 2010</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1,534</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15,207</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A7060D">
            <w:pPr>
              <w:keepNext/>
              <w:keepLines/>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National statistics data for 2010, support data Eurostat 2010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506</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8" w:space="0" w:color="auto"/>
              <w:right w:val="single" w:sz="8"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8" w:space="0" w:color="auto"/>
              <w:right w:val="single" w:sz="8"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National statistics NACE 2 data for 2010, supported by data Eurostat 2010</w:t>
            </w:r>
          </w:p>
        </w:tc>
      </w:tr>
      <w:tr w:rsidR="00097299" w:rsidRPr="00EC0540" w:rsidTr="007F22B2">
        <w:trPr>
          <w:trHeight w:val="735"/>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1.2</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Short-sea shipping (incl. Ro-Ro)</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3,049</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30,572</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Eurostat, data for 2010</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3,203</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31,753</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National statistics data for 2010, support data Eurostat 2010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07D79">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1,058.</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8" w:space="0" w:color="auto"/>
              <w:right w:val="single" w:sz="8"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8" w:space="0" w:color="auto"/>
              <w:right w:val="single" w:sz="8"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National statistics NACE 2 data for 2010, supported by data Eurostat 2010</w:t>
            </w:r>
          </w:p>
        </w:tc>
      </w:tr>
      <w:tr w:rsidR="00097299" w:rsidRPr="00EC0540" w:rsidTr="007F22B2">
        <w:trPr>
          <w:trHeight w:val="735"/>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1.3</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Passenger ferry services</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978</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13,931</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Eurostat, data for 2010</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845</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11,984</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National statistics data for 2010, support data Eurostat 2010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844</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8" w:space="0" w:color="auto"/>
              <w:right w:val="single" w:sz="8"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8" w:space="0" w:color="auto"/>
              <w:right w:val="single" w:sz="8"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National statistics NACE 2 data for 2010, supported by data Eurostat 2010</w:t>
            </w:r>
          </w:p>
        </w:tc>
      </w:tr>
      <w:tr w:rsidR="00097299" w:rsidRPr="00EC0540" w:rsidTr="007F22B2">
        <w:trPr>
          <w:trHeight w:val="975"/>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1.4</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Inland waterway transport</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288</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4,298</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Eurostat, data for 2010</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302</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4,412</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(only freight) National statistics data for 2010, support data Eurostat 2010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900</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8" w:space="0" w:color="auto"/>
              <w:right w:val="single" w:sz="8"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8" w:space="0" w:color="auto"/>
              <w:right w:val="single" w:sz="8"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National statistics NACE 2 data for 2010, supported by data Eurostat 2010</w:t>
            </w:r>
          </w:p>
        </w:tc>
      </w:tr>
      <w:tr w:rsidR="00A9547F" w:rsidRPr="00EC0540" w:rsidTr="007F22B2">
        <w:trPr>
          <w:trHeight w:val="303"/>
        </w:trPr>
        <w:tc>
          <w:tcPr>
            <w:tcW w:w="7640" w:type="dxa"/>
            <w:gridSpan w:val="8"/>
            <w:tcBorders>
              <w:top w:val="single" w:sz="4" w:space="0" w:color="auto"/>
              <w:left w:val="single" w:sz="4" w:space="0" w:color="auto"/>
              <w:bottom w:val="single" w:sz="4" w:space="0" w:color="auto"/>
              <w:right w:val="single" w:sz="8" w:space="0" w:color="auto"/>
            </w:tcBorders>
            <w:shd w:val="clear" w:color="000000" w:fill="0070C0"/>
            <w:vAlign w:val="center"/>
            <w:hideMark/>
          </w:tcPr>
          <w:p w:rsidR="00A9547F" w:rsidRPr="00A7060D" w:rsidRDefault="00A9547F">
            <w:pPr>
              <w:spacing w:before="0"/>
              <w:jc w:val="left"/>
              <w:rPr>
                <w:rFonts w:ascii="Calibri" w:eastAsia="Times New Roman" w:hAnsi="Calibri" w:cs="Calibri"/>
                <w:b/>
                <w:bCs/>
                <w:color w:val="FFFFFF"/>
                <w:sz w:val="20"/>
                <w:szCs w:val="20"/>
                <w:lang w:val="en-GB" w:eastAsia="fr-BE"/>
              </w:rPr>
            </w:pPr>
            <w:r w:rsidRPr="00A7060D">
              <w:rPr>
                <w:rFonts w:ascii="Calibri" w:eastAsia="Times New Roman" w:hAnsi="Calibri" w:cs="Calibri"/>
                <w:b/>
                <w:bCs/>
                <w:color w:val="FFFFFF"/>
                <w:sz w:val="20"/>
                <w:szCs w:val="20"/>
                <w:lang w:val="en-GB" w:eastAsia="fr-BE"/>
              </w:rPr>
              <w:t>2. Food, nutrition, health and eco-system services</w:t>
            </w:r>
          </w:p>
        </w:tc>
        <w:tc>
          <w:tcPr>
            <w:tcW w:w="850" w:type="dxa"/>
            <w:tcBorders>
              <w:top w:val="nil"/>
              <w:left w:val="single" w:sz="4" w:space="0" w:color="auto"/>
              <w:bottom w:val="single" w:sz="4" w:space="0" w:color="auto"/>
              <w:right w:val="single" w:sz="4" w:space="0" w:color="auto"/>
            </w:tcBorders>
            <w:shd w:val="clear" w:color="000000" w:fill="0070C0"/>
            <w:vAlign w:val="center"/>
            <w:hideMark/>
          </w:tcPr>
          <w:p w:rsidR="00A9547F" w:rsidRPr="00A7060D" w:rsidRDefault="00A9547F" w:rsidP="001B68AA">
            <w:pPr>
              <w:spacing w:before="0"/>
              <w:jc w:val="left"/>
              <w:rPr>
                <w:rFonts w:ascii="Calibri" w:eastAsia="Times New Roman" w:hAnsi="Calibri" w:cs="Calibri"/>
                <w:b/>
                <w:bCs/>
                <w:color w:val="FFFFFF"/>
                <w:sz w:val="20"/>
                <w:szCs w:val="20"/>
                <w:lang w:val="en-GB" w:eastAsia="fr-BE"/>
              </w:rPr>
            </w:pPr>
            <w:r w:rsidRPr="00A7060D">
              <w:rPr>
                <w:rFonts w:ascii="Calibri" w:eastAsia="Times New Roman" w:hAnsi="Calibri" w:cs="Calibri"/>
                <w:b/>
                <w:bCs/>
                <w:color w:val="FFFFFF"/>
                <w:sz w:val="20"/>
                <w:szCs w:val="20"/>
                <w:lang w:val="en-GB" w:eastAsia="fr-BE"/>
              </w:rPr>
              <w:t> </w:t>
            </w:r>
          </w:p>
        </w:tc>
        <w:tc>
          <w:tcPr>
            <w:tcW w:w="992" w:type="dxa"/>
            <w:tcBorders>
              <w:top w:val="nil"/>
              <w:left w:val="nil"/>
              <w:bottom w:val="single" w:sz="4" w:space="0" w:color="auto"/>
              <w:right w:val="single" w:sz="4" w:space="0" w:color="auto"/>
            </w:tcBorders>
            <w:shd w:val="clear" w:color="000000" w:fill="0070C0"/>
            <w:vAlign w:val="center"/>
            <w:hideMark/>
          </w:tcPr>
          <w:p w:rsidR="00A9547F" w:rsidRPr="00A7060D" w:rsidRDefault="00A9547F" w:rsidP="001B68AA">
            <w:pPr>
              <w:spacing w:before="0"/>
              <w:jc w:val="left"/>
              <w:rPr>
                <w:rFonts w:ascii="Calibri" w:eastAsia="Times New Roman" w:hAnsi="Calibri" w:cs="Calibri"/>
                <w:b/>
                <w:bCs/>
                <w:color w:val="FFFFFF"/>
                <w:sz w:val="20"/>
                <w:szCs w:val="20"/>
                <w:lang w:val="en-GB" w:eastAsia="fr-BE"/>
              </w:rPr>
            </w:pPr>
            <w:r w:rsidRPr="00A7060D">
              <w:rPr>
                <w:rFonts w:ascii="Calibri" w:eastAsia="Times New Roman" w:hAnsi="Calibri" w:cs="Calibri"/>
                <w:b/>
                <w:bCs/>
                <w:color w:val="FFFFFF"/>
                <w:sz w:val="20"/>
                <w:szCs w:val="20"/>
                <w:lang w:val="en-GB" w:eastAsia="fr-BE"/>
              </w:rPr>
              <w:t> </w:t>
            </w:r>
          </w:p>
        </w:tc>
        <w:tc>
          <w:tcPr>
            <w:tcW w:w="1418" w:type="dxa"/>
            <w:tcBorders>
              <w:top w:val="nil"/>
              <w:left w:val="nil"/>
              <w:bottom w:val="single" w:sz="4" w:space="0" w:color="auto"/>
              <w:right w:val="single" w:sz="4" w:space="0" w:color="auto"/>
            </w:tcBorders>
            <w:shd w:val="clear" w:color="000000" w:fill="0070C0"/>
            <w:vAlign w:val="center"/>
            <w:hideMark/>
          </w:tcPr>
          <w:p w:rsidR="00A9547F" w:rsidRPr="00A7060D" w:rsidRDefault="00A9547F" w:rsidP="001B68AA">
            <w:pPr>
              <w:spacing w:before="0"/>
              <w:jc w:val="left"/>
              <w:rPr>
                <w:rFonts w:ascii="Calibri" w:eastAsia="Times New Roman" w:hAnsi="Calibri" w:cs="Calibri"/>
                <w:b/>
                <w:bCs/>
                <w:color w:val="FFFFFF"/>
                <w:sz w:val="20"/>
                <w:szCs w:val="20"/>
                <w:lang w:val="en-GB" w:eastAsia="fr-BE"/>
              </w:rPr>
            </w:pPr>
            <w:r w:rsidRPr="00A7060D">
              <w:rPr>
                <w:rFonts w:ascii="Calibri" w:eastAsia="Times New Roman" w:hAnsi="Calibri" w:cs="Calibri"/>
                <w:b/>
                <w:bCs/>
                <w:color w:val="FFFFFF"/>
                <w:sz w:val="20"/>
                <w:szCs w:val="20"/>
                <w:lang w:val="en-GB"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A9547F" w:rsidRPr="00A7060D" w:rsidRDefault="00A9547F" w:rsidP="001B68AA">
            <w:pPr>
              <w:spacing w:before="0"/>
              <w:jc w:val="left"/>
              <w:rPr>
                <w:rFonts w:ascii="Calibri" w:eastAsia="Times New Roman" w:hAnsi="Calibri" w:cs="Calibri"/>
                <w:b/>
                <w:bCs/>
                <w:color w:val="FFFFFF"/>
                <w:sz w:val="20"/>
                <w:szCs w:val="20"/>
                <w:lang w:val="en-GB" w:eastAsia="fr-BE"/>
              </w:rPr>
            </w:pPr>
            <w:r w:rsidRPr="00A7060D">
              <w:rPr>
                <w:rFonts w:ascii="Calibri" w:eastAsia="Times New Roman" w:hAnsi="Calibri" w:cs="Calibri"/>
                <w:b/>
                <w:bCs/>
                <w:color w:val="FFFFFF"/>
                <w:sz w:val="20"/>
                <w:szCs w:val="20"/>
                <w:lang w:val="en-GB" w:eastAsia="fr-BE"/>
              </w:rPr>
              <w:t> </w:t>
            </w:r>
          </w:p>
        </w:tc>
        <w:tc>
          <w:tcPr>
            <w:tcW w:w="850" w:type="dxa"/>
            <w:tcBorders>
              <w:top w:val="nil"/>
              <w:left w:val="nil"/>
              <w:bottom w:val="single" w:sz="4" w:space="0" w:color="auto"/>
              <w:right w:val="single" w:sz="4" w:space="0" w:color="auto"/>
            </w:tcBorders>
            <w:shd w:val="clear" w:color="000000" w:fill="0070C0"/>
            <w:vAlign w:val="center"/>
            <w:hideMark/>
          </w:tcPr>
          <w:p w:rsidR="00A9547F" w:rsidRPr="00A7060D" w:rsidRDefault="00A9547F" w:rsidP="001B68AA">
            <w:pPr>
              <w:spacing w:before="0"/>
              <w:jc w:val="left"/>
              <w:rPr>
                <w:rFonts w:ascii="Calibri" w:eastAsia="Times New Roman" w:hAnsi="Calibri" w:cs="Calibri"/>
                <w:b/>
                <w:bCs/>
                <w:color w:val="FFFFFF"/>
                <w:sz w:val="20"/>
                <w:szCs w:val="20"/>
                <w:lang w:val="en-GB" w:eastAsia="fr-BE"/>
              </w:rPr>
            </w:pPr>
            <w:r w:rsidRPr="00A7060D">
              <w:rPr>
                <w:rFonts w:ascii="Calibri" w:eastAsia="Times New Roman" w:hAnsi="Calibri" w:cs="Calibri"/>
                <w:b/>
                <w:bCs/>
                <w:color w:val="FFFFFF"/>
                <w:sz w:val="20"/>
                <w:szCs w:val="20"/>
                <w:lang w:val="en-GB" w:eastAsia="fr-BE"/>
              </w:rPr>
              <w:t> </w:t>
            </w:r>
          </w:p>
        </w:tc>
        <w:tc>
          <w:tcPr>
            <w:tcW w:w="906" w:type="dxa"/>
            <w:tcBorders>
              <w:top w:val="single" w:sz="4" w:space="0" w:color="auto"/>
              <w:left w:val="nil"/>
              <w:bottom w:val="single" w:sz="4" w:space="0" w:color="auto"/>
              <w:right w:val="single" w:sz="4" w:space="0" w:color="auto"/>
            </w:tcBorders>
            <w:shd w:val="clear" w:color="000000" w:fill="0070C0"/>
            <w:vAlign w:val="center"/>
            <w:hideMark/>
          </w:tcPr>
          <w:p w:rsidR="00A9547F" w:rsidRPr="00A7060D" w:rsidRDefault="00A9547F" w:rsidP="001B68AA">
            <w:pPr>
              <w:spacing w:before="0"/>
              <w:jc w:val="left"/>
              <w:rPr>
                <w:rFonts w:ascii="Calibri" w:eastAsia="Times New Roman" w:hAnsi="Calibri" w:cs="Calibri"/>
                <w:b/>
                <w:bCs/>
                <w:color w:val="FFFFFF"/>
                <w:sz w:val="20"/>
                <w:szCs w:val="20"/>
                <w:lang w:val="en-GB" w:eastAsia="fr-BE"/>
              </w:rPr>
            </w:pPr>
            <w:r w:rsidRPr="00A7060D">
              <w:rPr>
                <w:rFonts w:ascii="Calibri" w:eastAsia="Times New Roman" w:hAnsi="Calibri" w:cs="Calibri"/>
                <w:b/>
                <w:bCs/>
                <w:color w:val="FFFFFF"/>
                <w:sz w:val="20"/>
                <w:szCs w:val="20"/>
                <w:lang w:val="en-GB" w:eastAsia="fr-BE"/>
              </w:rPr>
              <w:t> </w:t>
            </w:r>
          </w:p>
        </w:tc>
        <w:tc>
          <w:tcPr>
            <w:tcW w:w="1134" w:type="dxa"/>
            <w:tcBorders>
              <w:top w:val="single" w:sz="4" w:space="0" w:color="auto"/>
              <w:left w:val="nil"/>
              <w:bottom w:val="single" w:sz="4" w:space="0" w:color="auto"/>
              <w:right w:val="single" w:sz="4" w:space="0" w:color="auto"/>
            </w:tcBorders>
            <w:shd w:val="clear" w:color="000000" w:fill="0070C0"/>
            <w:vAlign w:val="center"/>
            <w:hideMark/>
          </w:tcPr>
          <w:p w:rsidR="00A9547F" w:rsidRPr="00A7060D" w:rsidRDefault="00A9547F" w:rsidP="001B68AA">
            <w:pPr>
              <w:spacing w:before="0"/>
              <w:jc w:val="left"/>
              <w:rPr>
                <w:rFonts w:ascii="Calibri" w:eastAsia="Times New Roman" w:hAnsi="Calibri" w:cs="Calibri"/>
                <w:b/>
                <w:bCs/>
                <w:color w:val="FFFFFF"/>
                <w:sz w:val="20"/>
                <w:szCs w:val="20"/>
                <w:lang w:val="en-GB" w:eastAsia="fr-BE"/>
              </w:rPr>
            </w:pPr>
            <w:r w:rsidRPr="00A7060D">
              <w:rPr>
                <w:rFonts w:ascii="Calibri" w:eastAsia="Times New Roman" w:hAnsi="Calibri" w:cs="Calibri"/>
                <w:b/>
                <w:bCs/>
                <w:color w:val="FFFFFF"/>
                <w:sz w:val="20"/>
                <w:szCs w:val="20"/>
                <w:lang w:val="en-GB" w:eastAsia="fr-BE"/>
              </w:rPr>
              <w:t> </w:t>
            </w:r>
          </w:p>
        </w:tc>
      </w:tr>
      <w:tr w:rsidR="00097299" w:rsidRPr="00A7060D" w:rsidTr="007F22B2">
        <w:trPr>
          <w:trHeight w:val="240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2.1</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Catching fish for human consumption</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2,759</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56,196</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xml:space="preserve">JRC (fishing), Eurostat (fish processing, wholesale &amp; retail), PRODCOM (share of human/animal), data for 2010 </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2,759</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56,196</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xml:space="preserve">JRC (fishing), Eurostat (fish processing, wholesale &amp; retail), PRODCOM (share of human/animal), data for 2010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xml:space="preserve">470 (Ifremer, 2009), https://wwz.ifremer.fr/dcsmm/content/download/53172/754126/version/1/file/AES_Peche_professionnelle_V2bis_MO.pdf. This figure only </w:t>
            </w:r>
            <w:r w:rsidRPr="00A7060D">
              <w:rPr>
                <w:rFonts w:ascii="Calibri" w:eastAsia="Times New Roman" w:hAnsi="Calibri" w:cs="Calibri"/>
                <w:color w:val="000000"/>
                <w:sz w:val="20"/>
                <w:szCs w:val="20"/>
                <w:lang w:val="en-GB" w:eastAsia="fr-BE"/>
              </w:rPr>
              <w:lastRenderedPageBreak/>
              <w:t>includes fishing activities (no wholesaling nor retailing)</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07D79">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22</w:t>
            </w:r>
            <w:r w:rsidR="00A07D79" w:rsidRPr="00A7060D">
              <w:rPr>
                <w:rFonts w:ascii="Calibri" w:eastAsia="Times New Roman" w:hAnsi="Calibri" w:cs="Calibri"/>
                <w:color w:val="000000"/>
                <w:sz w:val="20"/>
                <w:szCs w:val="20"/>
                <w:lang w:val="fr-BE" w:eastAsia="fr-BE"/>
              </w:rPr>
              <w:t>,</w:t>
            </w:r>
            <w:r w:rsidRPr="00A7060D">
              <w:rPr>
                <w:rFonts w:ascii="Calibri" w:eastAsia="Times New Roman" w:hAnsi="Calibri" w:cs="Calibri"/>
                <w:color w:val="000000"/>
                <w:sz w:val="20"/>
                <w:szCs w:val="20"/>
                <w:lang w:val="fr-BE" w:eastAsia="fr-BE"/>
              </w:rPr>
              <w:t>639//4</w:t>
            </w:r>
            <w:r w:rsidR="00A07D79" w:rsidRPr="00A7060D">
              <w:rPr>
                <w:rFonts w:ascii="Calibri" w:eastAsia="Times New Roman" w:hAnsi="Calibri" w:cs="Calibri"/>
                <w:color w:val="000000"/>
                <w:sz w:val="20"/>
                <w:szCs w:val="20"/>
                <w:lang w:val="fr-BE" w:eastAsia="fr-BE"/>
              </w:rPr>
              <w:t>,6</w:t>
            </w:r>
            <w:r w:rsidRPr="00A7060D">
              <w:rPr>
                <w:rFonts w:ascii="Calibri" w:eastAsia="Times New Roman" w:hAnsi="Calibri" w:cs="Calibri"/>
                <w:color w:val="000000"/>
                <w:sz w:val="20"/>
                <w:szCs w:val="20"/>
                <w:lang w:val="fr-BE" w:eastAsia="fr-BE"/>
              </w:rPr>
              <w:t>.900</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xml:space="preserve">French Government, 2010 (only fishing activities) http://www.developpement-durable.gouv.fr/IMG/pdf/Chiffres_cle_peche.pdf//France Agrimer (National Institute for Farming and Fishing Products), 2011 data (The number comprises production, </w:t>
            </w:r>
            <w:r w:rsidRPr="00A7060D">
              <w:rPr>
                <w:rFonts w:ascii="Calibri" w:eastAsia="Times New Roman" w:hAnsi="Calibri" w:cs="Calibri"/>
                <w:color w:val="000000"/>
                <w:sz w:val="20"/>
                <w:szCs w:val="20"/>
                <w:lang w:val="en-GB" w:eastAsia="fr-BE"/>
              </w:rPr>
              <w:lastRenderedPageBreak/>
              <w:t>fishmonger firms, trade firms and processinf firms)</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lastRenderedPageBreak/>
              <w:t xml:space="preserve">2926 (fishmongers), 306 (trading and processing firms), 300 (processing)//4640 </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Le Cluster Maritime Français, 2010// Ifremer, 2009, https://wwz.ifremer.fr/dcsmm/content/download/53172/754126/version/1/file/AES_Peche_professionnelle_V2bis_MO.pdf</w:t>
            </w:r>
          </w:p>
        </w:tc>
      </w:tr>
      <w:tr w:rsidR="00097299" w:rsidRPr="00A7060D" w:rsidTr="007F22B2">
        <w:trPr>
          <w:trHeight w:val="144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2.2</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Catching fish for animal feeding</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minimal</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minimal</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JRC (fishing), PRODCOM (share of human/animal), data for 2010  (animal share is zero in 2010 according to JRC)</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p>
        </w:tc>
      </w:tr>
      <w:tr w:rsidR="00097299" w:rsidRPr="00EC0540" w:rsidTr="007F22B2">
        <w:trPr>
          <w:trHeight w:val="144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2.3</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Marine aquatic products</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258</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15</w:t>
            </w:r>
            <w:r w:rsidR="00A07D79" w:rsidRPr="00A7060D">
              <w:rPr>
                <w:rFonts w:ascii="Calibri" w:eastAsia="Times New Roman" w:hAnsi="Calibri" w:cs="Calibri"/>
                <w:color w:val="000000"/>
                <w:sz w:val="20"/>
                <w:szCs w:val="20"/>
                <w:lang w:val="fr-BE" w:eastAsia="fr-BE"/>
              </w:rPr>
              <w:t>,336</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JRC, data for 2010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17</w:t>
            </w:r>
            <w:r w:rsidR="00A07D79" w:rsidRPr="00A7060D">
              <w:rPr>
                <w:rFonts w:ascii="Calibri" w:eastAsia="Times New Roman" w:hAnsi="Calibri" w:cs="Calibri"/>
                <w:color w:val="000000"/>
                <w:sz w:val="20"/>
                <w:szCs w:val="20"/>
                <w:lang w:val="en-GB" w:eastAsia="fr-BE"/>
              </w:rPr>
              <w:t>,</w:t>
            </w:r>
            <w:r w:rsidRPr="00A7060D">
              <w:rPr>
                <w:rFonts w:ascii="Calibri" w:eastAsia="Times New Roman" w:hAnsi="Calibri" w:cs="Calibri"/>
                <w:color w:val="000000"/>
                <w:sz w:val="20"/>
                <w:szCs w:val="20"/>
                <w:lang w:val="en-GB" w:eastAsia="fr-BE"/>
              </w:rPr>
              <w:t>200 (shellfish production), 2</w:t>
            </w:r>
            <w:r w:rsidR="00A07D79" w:rsidRPr="00A7060D">
              <w:rPr>
                <w:rFonts w:ascii="Calibri" w:eastAsia="Times New Roman" w:hAnsi="Calibri" w:cs="Calibri"/>
                <w:color w:val="000000"/>
                <w:sz w:val="20"/>
                <w:szCs w:val="20"/>
                <w:lang w:val="en-GB" w:eastAsia="fr-BE"/>
              </w:rPr>
              <w:t>,</w:t>
            </w:r>
            <w:r w:rsidRPr="00A7060D">
              <w:rPr>
                <w:rFonts w:ascii="Calibri" w:eastAsia="Times New Roman" w:hAnsi="Calibri" w:cs="Calibri"/>
                <w:color w:val="000000"/>
                <w:sz w:val="20"/>
                <w:szCs w:val="20"/>
                <w:lang w:val="en-GB" w:eastAsia="fr-BE"/>
              </w:rPr>
              <w:t>800 (fish farming), n/a (algae)</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French Government, 2010, http://www.developpement-durable.gouv.fr/IMG/pdf/Chiffres_cle_peche.pdf</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3</w:t>
            </w:r>
            <w:r w:rsidR="00A07D79" w:rsidRPr="00A7060D">
              <w:rPr>
                <w:rFonts w:ascii="Calibri" w:eastAsia="Times New Roman" w:hAnsi="Calibri" w:cs="Calibri"/>
                <w:color w:val="000000"/>
                <w:sz w:val="20"/>
                <w:szCs w:val="20"/>
                <w:lang w:val="en-GB" w:eastAsia="fr-BE"/>
              </w:rPr>
              <w:t>,</w:t>
            </w:r>
            <w:r w:rsidRPr="00A7060D">
              <w:rPr>
                <w:rFonts w:ascii="Calibri" w:eastAsia="Times New Roman" w:hAnsi="Calibri" w:cs="Calibri"/>
                <w:color w:val="000000"/>
                <w:sz w:val="20"/>
                <w:szCs w:val="20"/>
                <w:lang w:val="en-GB" w:eastAsia="fr-BE"/>
              </w:rPr>
              <w:t>750 (only shellfish activities),31 (fish farming), 6 (algae cultivation)</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French Government, 2010, http://www.developpement-durable.gouv.fr/IMG/pdf/Chiffres_cle_peche.pdf</w:t>
            </w:r>
          </w:p>
        </w:tc>
      </w:tr>
      <w:tr w:rsidR="00097299" w:rsidRPr="00A7060D" w:rsidTr="007F22B2">
        <w:trPr>
          <w:trHeight w:val="144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2.4</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Blue biotechnology</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Not available in Eurostat. No alternative data on France found centrally</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n/a National Statistical Office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No industry yet, R&amp;D Developement stage</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France Biotech, 2012 http://www.scribd.com/doc/145896846/Etude-2012-VInteractive-FranceBiotech</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No industry yet, R&amp;D Developement stage</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France Biotech, 2012 http://www.scribd.com/doc/145896846/Etude-2012-VInteractive-FranceBiotech</w:t>
            </w:r>
          </w:p>
        </w:tc>
      </w:tr>
      <w:tr w:rsidR="00276BD7" w:rsidRPr="00A7060D" w:rsidTr="007F22B2">
        <w:trPr>
          <w:trHeight w:val="1155"/>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2.5</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Agriculture on saline soils</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476</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16,852</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Eurostat, data for 2010 (agriculture in coastal NUTS-2 and percentage saline soils.</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27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07D79">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07D79">
            <w:pPr>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07D79">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07D79">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w:t>
            </w:r>
          </w:p>
        </w:tc>
      </w:tr>
      <w:tr w:rsidR="003D46EA" w:rsidRPr="00A7060D" w:rsidTr="00E8042A">
        <w:trPr>
          <w:trHeight w:val="247"/>
        </w:trPr>
        <w:tc>
          <w:tcPr>
            <w:tcW w:w="3119" w:type="dxa"/>
            <w:gridSpan w:val="4"/>
            <w:tcBorders>
              <w:top w:val="single" w:sz="4" w:space="0" w:color="auto"/>
              <w:left w:val="single" w:sz="4" w:space="0" w:color="auto"/>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b/>
                <w:bCs/>
                <w:color w:val="FFFFFF"/>
                <w:sz w:val="20"/>
                <w:szCs w:val="20"/>
                <w:lang w:val="fr-BE" w:eastAsia="fr-BE"/>
              </w:rPr>
              <w:lastRenderedPageBreak/>
              <w:t>3. Energy and raw materials</w:t>
            </w:r>
          </w:p>
        </w:tc>
        <w:tc>
          <w:tcPr>
            <w:tcW w:w="992" w:type="dxa"/>
            <w:tcBorders>
              <w:top w:val="nil"/>
              <w:left w:val="nil"/>
              <w:bottom w:val="single" w:sz="4" w:space="0" w:color="auto"/>
              <w:right w:val="single" w:sz="8"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888" w:type="dxa"/>
            <w:tcBorders>
              <w:top w:val="nil"/>
              <w:left w:val="single" w:sz="4" w:space="0" w:color="auto"/>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1365"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1276" w:type="dxa"/>
            <w:tcBorders>
              <w:top w:val="nil"/>
              <w:left w:val="nil"/>
              <w:bottom w:val="single" w:sz="4" w:space="0" w:color="auto"/>
              <w:right w:val="single" w:sz="8"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850" w:type="dxa"/>
            <w:tcBorders>
              <w:top w:val="nil"/>
              <w:left w:val="single" w:sz="4" w:space="0" w:color="auto"/>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92"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418"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850"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06"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A7060D">
            <w:pPr>
              <w:keepNext/>
              <w:keepLines/>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r>
      <w:tr w:rsidR="00097299" w:rsidRPr="00A7060D" w:rsidTr="007F22B2">
        <w:trPr>
          <w:trHeight w:val="144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3.1</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Offshore oil and gas</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31</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46</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Eurostat, data GVA 2010, Employment 2009. No data on NACE 06.10 and 06.20</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F107AC"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30,000 // 27,</w:t>
            </w:r>
            <w:r w:rsidR="001B68AA" w:rsidRPr="00A7060D">
              <w:rPr>
                <w:rFonts w:ascii="Calibri" w:eastAsia="Times New Roman" w:hAnsi="Calibri" w:cs="Calibri"/>
                <w:color w:val="000000"/>
                <w:sz w:val="20"/>
                <w:szCs w:val="20"/>
                <w:lang w:val="fr-BE" w:eastAsia="fr-BE"/>
              </w:rPr>
              <w:t>000</w:t>
            </w:r>
            <w:r w:rsidR="00F83A00" w:rsidRPr="00A7060D">
              <w:rPr>
                <w:rStyle w:val="FootnoteReference"/>
                <w:rFonts w:ascii="Calibri" w:eastAsia="Times New Roman" w:hAnsi="Calibri" w:cs="Calibri"/>
                <w:color w:val="000000"/>
                <w:sz w:val="20"/>
                <w:szCs w:val="20"/>
                <w:lang w:val="fr-BE" w:eastAsia="fr-BE"/>
              </w:rPr>
              <w:footnoteReference w:id="163"/>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Le Cluster Maritime Français, 2010 / Institut Français de la mer Ifmer.org  http://www.ifmer.org/assets/documents/files/lu_presse/9997JRVallat42009.PDF</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52.</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A7060D">
            <w:pPr>
              <w:keepNext/>
              <w:keepLines/>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Amadeus database</w:t>
            </w:r>
          </w:p>
        </w:tc>
      </w:tr>
      <w:tr w:rsidR="00276BD7" w:rsidRPr="00A7060D" w:rsidTr="007F22B2">
        <w:trPr>
          <w:trHeight w:val="192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3.2</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Offshore wind</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p>
        </w:tc>
        <w:tc>
          <w:tcPr>
            <w:tcW w:w="888"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minimal</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minimal</w:t>
            </w:r>
          </w:p>
        </w:tc>
        <w:tc>
          <w:tcPr>
            <w:tcW w:w="127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http://www.windustry.fr/wp-content/uploads/2013/01/20130125-Annuaire-industrie-%C3%A9olienne-2012-2013-EN.pdf</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minimal</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minimal</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http://www.windustry.fr/wp-content/uploads/2013/01/20130125-Annuaire-industrie-%C3%A9olienne-2012-2013-EN.pdf</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p>
        </w:tc>
      </w:tr>
      <w:tr w:rsidR="00097299" w:rsidRPr="00EC0540" w:rsidTr="007F22B2">
        <w:trPr>
          <w:trHeight w:val="96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3.3</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Ocean renewable energy</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Sector not visible in Eurostat. No alternativ</w:t>
            </w:r>
            <w:r w:rsidRPr="00A7060D">
              <w:rPr>
                <w:rFonts w:ascii="Calibri" w:eastAsia="Times New Roman" w:hAnsi="Calibri" w:cs="Calibri"/>
                <w:color w:val="000000"/>
                <w:sz w:val="20"/>
                <w:szCs w:val="20"/>
                <w:lang w:val="en-GB" w:eastAsia="fr-BE"/>
              </w:rPr>
              <w:lastRenderedPageBreak/>
              <w:t>e sources found for France</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n/a</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xml:space="preserve">Sector not visible in Eurostat. No alternative sources </w:t>
            </w:r>
            <w:r w:rsidRPr="00A7060D">
              <w:rPr>
                <w:rFonts w:ascii="Calibri" w:eastAsia="Times New Roman" w:hAnsi="Calibri" w:cs="Calibri"/>
                <w:color w:val="000000"/>
                <w:sz w:val="20"/>
                <w:szCs w:val="20"/>
                <w:lang w:val="en-GB" w:eastAsia="fr-BE"/>
              </w:rPr>
              <w:lastRenderedPageBreak/>
              <w:t>found for France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74.3</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400</w:t>
            </w:r>
          </w:p>
        </w:tc>
        <w:tc>
          <w:tcPr>
            <w:tcW w:w="1418" w:type="dxa"/>
            <w:tcBorders>
              <w:top w:val="nil"/>
              <w:left w:val="nil"/>
              <w:bottom w:val="nil"/>
              <w:right w:val="nil"/>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Ecorys calculations based on the Blue Growth Study</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Mainly overseas, not in metropolitan France</w:t>
            </w:r>
          </w:p>
        </w:tc>
      </w:tr>
      <w:tr w:rsidR="00097299" w:rsidRPr="00A7060D" w:rsidTr="007F22B2">
        <w:trPr>
          <w:trHeight w:val="150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3.4</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Carbon capture and storage</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Sector not visible in Eurostat. No alternative sources found for France</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Sector not visible in Eurostat. No alternative sources found for France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p>
        </w:tc>
      </w:tr>
      <w:tr w:rsidR="00097299" w:rsidRPr="00A7060D" w:rsidTr="007F22B2">
        <w:trPr>
          <w:trHeight w:val="120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3.5</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Aggregates mining (sand, gravel, etc.)</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29</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323</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Eurostat, data for 2010. Offshore share based on UEPG</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300</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Ifremer, 2009, http://wwz.ifremer.fr/drogm/Ressources-minerales/Materiaux-marins/Economie/Donnees-economiques</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12</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Ifremer, 2009, http://wwz.ifremer.fr/drogm/Ressources-minerales/Materiaux-marins/Economie/Donnees-economiques</w:t>
            </w:r>
          </w:p>
        </w:tc>
      </w:tr>
      <w:tr w:rsidR="00097299" w:rsidRPr="00A7060D" w:rsidTr="007F22B2">
        <w:trPr>
          <w:trHeight w:val="4156"/>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3.6</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Marine minerals mining</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No data found centrally</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No data found centrally</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No industry yet, only public-private exploratory projects, mainly in overseas departements (French Antilles), which are not considered in this study</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Ifremer, 2011, http://wwz.ifremer.fr/content/download/44025/622908/file/Synth%C3%A8se%20REMIMA%20-%20version%20finale%20-%20BD.pdf</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r>
      <w:tr w:rsidR="00097299" w:rsidRPr="00A7060D" w:rsidTr="007F22B2">
        <w:trPr>
          <w:trHeight w:val="120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3.7</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Securing fresh water supply (desalination)</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0</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0</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No sea &amp; brackish water based production present in France according to Global Water Insights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minimal</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minimal</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Actu-environnement, 2012, http://www.actu-environnement.com/ae/dossiers/nouvelles-ressources-eau/dessaleme</w:t>
            </w:r>
            <w:r w:rsidRPr="00A7060D">
              <w:rPr>
                <w:rFonts w:ascii="Calibri" w:eastAsia="Times New Roman" w:hAnsi="Calibri" w:cs="Calibri"/>
                <w:color w:val="000000"/>
                <w:sz w:val="20"/>
                <w:szCs w:val="20"/>
                <w:lang w:val="fr-BE" w:eastAsia="fr-BE"/>
              </w:rPr>
              <w:lastRenderedPageBreak/>
              <w:t>nt.php</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r>
      <w:tr w:rsidR="000A6BC7" w:rsidRPr="00A7060D" w:rsidTr="007F22B2">
        <w:trPr>
          <w:trHeight w:val="325"/>
        </w:trPr>
        <w:tc>
          <w:tcPr>
            <w:tcW w:w="4111" w:type="dxa"/>
            <w:gridSpan w:val="5"/>
            <w:tcBorders>
              <w:top w:val="single" w:sz="4" w:space="0" w:color="auto"/>
              <w:left w:val="single" w:sz="4" w:space="0" w:color="auto"/>
              <w:bottom w:val="single" w:sz="4" w:space="0" w:color="auto"/>
              <w:right w:val="single" w:sz="8" w:space="0" w:color="auto"/>
            </w:tcBorders>
            <w:shd w:val="clear" w:color="000000" w:fill="0070C0"/>
            <w:vAlign w:val="center"/>
            <w:hideMark/>
          </w:tcPr>
          <w:p w:rsidR="000A6BC7" w:rsidRPr="00A7060D" w:rsidRDefault="000A6BC7" w:rsidP="000A6BC7">
            <w:pPr>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b/>
                <w:bCs/>
                <w:color w:val="FFFFFF"/>
                <w:sz w:val="20"/>
                <w:szCs w:val="20"/>
                <w:lang w:val="fr-BE" w:eastAsia="fr-BE"/>
              </w:rPr>
              <w:lastRenderedPageBreak/>
              <w:t>4. Leisure, working and living</w:t>
            </w:r>
          </w:p>
        </w:tc>
        <w:tc>
          <w:tcPr>
            <w:tcW w:w="888" w:type="dxa"/>
            <w:tcBorders>
              <w:top w:val="nil"/>
              <w:left w:val="single" w:sz="4" w:space="0" w:color="auto"/>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1365"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color w:val="FFFFFF"/>
                <w:sz w:val="20"/>
                <w:szCs w:val="20"/>
                <w:lang w:val="fr-BE" w:eastAsia="fr-BE"/>
              </w:rPr>
            </w:pPr>
            <w:r w:rsidRPr="00A7060D">
              <w:rPr>
                <w:rFonts w:ascii="Calibri" w:eastAsia="Times New Roman" w:hAnsi="Calibri" w:cs="Calibri"/>
                <w:color w:val="FFFFFF"/>
                <w:sz w:val="20"/>
                <w:szCs w:val="20"/>
                <w:lang w:val="fr-BE" w:eastAsia="fr-BE"/>
              </w:rPr>
              <w:t> </w:t>
            </w:r>
          </w:p>
        </w:tc>
        <w:tc>
          <w:tcPr>
            <w:tcW w:w="1276" w:type="dxa"/>
            <w:tcBorders>
              <w:top w:val="nil"/>
              <w:left w:val="nil"/>
              <w:bottom w:val="single" w:sz="4" w:space="0" w:color="auto"/>
              <w:right w:val="single" w:sz="8"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850" w:type="dxa"/>
            <w:tcBorders>
              <w:top w:val="nil"/>
              <w:left w:val="single" w:sz="4" w:space="0" w:color="auto"/>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92"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418"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850"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06"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r>
      <w:tr w:rsidR="00097299" w:rsidRPr="00EC0540" w:rsidTr="007F22B2">
        <w:trPr>
          <w:trHeight w:val="1521"/>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4.1</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Coastal tourism</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3,401</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794A52">
            <w:pPr>
              <w:spacing w:before="0"/>
              <w:jc w:val="center"/>
              <w:rPr>
                <w:rFonts w:ascii="Calibri" w:eastAsia="Times New Roman" w:hAnsi="Calibri" w:cs="Calibri"/>
                <w:color w:val="000000"/>
                <w:sz w:val="20"/>
                <w:szCs w:val="20"/>
                <w:lang w:val="fr-BE" w:eastAsia="fr-BE"/>
              </w:rPr>
            </w:pPr>
            <w:r>
              <w:rPr>
                <w:rFonts w:ascii="Calibri" w:eastAsia="Times New Roman" w:hAnsi="Calibri" w:cs="Calibri"/>
                <w:color w:val="000000"/>
                <w:sz w:val="20"/>
                <w:szCs w:val="20"/>
                <w:lang w:val="fr-BE" w:eastAsia="fr-BE"/>
              </w:rPr>
              <w:t>65,569</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Eurostat, data for 2010 (data for NACE 55.10, 55.20, 55.30, 55.90)</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7,503</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67,947</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National Statistical data for 2010 (data for NACE 55.10, 55.20, 55.30, 55.90), support data Eurostat 2010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xml:space="preserve">11.000 (added value only - not gross - ). In 2007, it represented 40% of the added value of the whole French maritime economy (27.5 billion Euros), Observatoire </w:t>
            </w:r>
            <w:r w:rsidRPr="00A7060D">
              <w:rPr>
                <w:rFonts w:ascii="Calibri" w:eastAsia="Times New Roman" w:hAnsi="Calibri" w:cs="Calibri"/>
                <w:color w:val="000000"/>
                <w:sz w:val="20"/>
                <w:szCs w:val="20"/>
                <w:lang w:val="en-GB" w:eastAsia="fr-BE"/>
              </w:rPr>
              <w:lastRenderedPageBreak/>
              <w:t>National de la mer et du littoral, https://wwz.ifremer.fr/dcsmm/content/download/53191/754354/version/1/file/AES_Tourisme_littoral_MMDN_V2.pdf</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33</w:t>
            </w:r>
            <w:r w:rsidR="00F107AC" w:rsidRPr="00A7060D">
              <w:rPr>
                <w:rFonts w:ascii="Calibri" w:eastAsia="Times New Roman" w:hAnsi="Calibri" w:cs="Calibri"/>
                <w:color w:val="000000"/>
                <w:sz w:val="20"/>
                <w:szCs w:val="20"/>
                <w:lang w:val="fr-BE" w:eastAsia="fr-BE"/>
              </w:rPr>
              <w:t>,</w:t>
            </w:r>
            <w:r w:rsidRPr="00A7060D">
              <w:rPr>
                <w:rFonts w:ascii="Calibri" w:eastAsia="Times New Roman" w:hAnsi="Calibri" w:cs="Calibri"/>
                <w:color w:val="000000"/>
                <w:sz w:val="20"/>
                <w:szCs w:val="20"/>
                <w:lang w:val="fr-BE" w:eastAsia="fr-BE"/>
              </w:rPr>
              <w:t>200</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Ifremer, 2008 https://wwz.ifremer.fr/dcsmm/content/download/53191/754354/version/1/file/AES_Tourisme_littoral_MMDN_V2.pdf</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13,920</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Based on National Statistical NACE 2 data for 2010 (data for NACE 55.10, 55.20, 55.30, 55.90), support data Eurostat 2010</w:t>
            </w:r>
          </w:p>
        </w:tc>
      </w:tr>
      <w:tr w:rsidR="00097299" w:rsidRPr="00A7060D" w:rsidTr="007F22B2">
        <w:trPr>
          <w:trHeight w:val="192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4.2</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Yachting and marinas</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5D25F2"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818</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5D25F2"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33</w:t>
            </w:r>
            <w:r w:rsidR="00F107AC" w:rsidRPr="00A7060D">
              <w:rPr>
                <w:rFonts w:ascii="Calibri" w:eastAsia="Times New Roman" w:hAnsi="Calibri" w:cs="Calibri"/>
                <w:color w:val="000000"/>
                <w:sz w:val="20"/>
                <w:szCs w:val="20"/>
                <w:lang w:val="fr-BE" w:eastAsia="fr-BE"/>
              </w:rPr>
              <w:t>,</w:t>
            </w:r>
            <w:r w:rsidRPr="00A7060D">
              <w:rPr>
                <w:rFonts w:ascii="Calibri" w:eastAsia="Times New Roman" w:hAnsi="Calibri" w:cs="Calibri"/>
                <w:color w:val="000000"/>
                <w:sz w:val="20"/>
                <w:szCs w:val="20"/>
                <w:lang w:val="fr-BE" w:eastAsia="fr-BE"/>
              </w:rPr>
              <w:t>180</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ICOMIA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45</w:t>
            </w:r>
            <w:r w:rsidR="00F107AC" w:rsidRPr="00A7060D">
              <w:rPr>
                <w:rFonts w:ascii="Calibri" w:eastAsia="Times New Roman" w:hAnsi="Calibri" w:cs="Calibri"/>
                <w:color w:val="000000"/>
                <w:sz w:val="20"/>
                <w:szCs w:val="20"/>
                <w:lang w:val="fr-BE" w:eastAsia="fr-BE"/>
              </w:rPr>
              <w:t>,</w:t>
            </w:r>
            <w:r w:rsidRPr="00A7060D">
              <w:rPr>
                <w:rFonts w:ascii="Calibri" w:eastAsia="Times New Roman" w:hAnsi="Calibri" w:cs="Calibri"/>
                <w:color w:val="000000"/>
                <w:sz w:val="20"/>
                <w:szCs w:val="20"/>
                <w:lang w:val="fr-BE" w:eastAsia="fr-BE"/>
              </w:rPr>
              <w:t>000//41</w:t>
            </w:r>
            <w:r w:rsidR="00F107AC" w:rsidRPr="00A7060D">
              <w:rPr>
                <w:rFonts w:ascii="Calibri" w:eastAsia="Times New Roman" w:hAnsi="Calibri" w:cs="Calibri"/>
                <w:color w:val="000000"/>
                <w:sz w:val="20"/>
                <w:szCs w:val="20"/>
                <w:lang w:val="fr-BE" w:eastAsia="fr-BE"/>
              </w:rPr>
              <w:t>,</w:t>
            </w:r>
            <w:r w:rsidRPr="00A7060D">
              <w:rPr>
                <w:rFonts w:ascii="Calibri" w:eastAsia="Times New Roman" w:hAnsi="Calibri" w:cs="Calibri"/>
                <w:color w:val="000000"/>
                <w:sz w:val="20"/>
                <w:szCs w:val="20"/>
                <w:lang w:val="fr-BE" w:eastAsia="fr-BE"/>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xml:space="preserve">French Government, 2007 http://www.developpement-durable.gouv.fr/Le-secteur-economique-de-la.html // Le Cluster Maritime, 2010, </w:t>
            </w:r>
            <w:r w:rsidRPr="00A7060D">
              <w:rPr>
                <w:rFonts w:ascii="Calibri" w:eastAsia="Times New Roman" w:hAnsi="Calibri" w:cs="Calibri"/>
                <w:color w:val="000000"/>
                <w:sz w:val="20"/>
                <w:szCs w:val="20"/>
                <w:lang w:val="en-GB" w:eastAsia="fr-BE"/>
              </w:rPr>
              <w:lastRenderedPageBreak/>
              <w:t>http://www.cluster-maritime.fr/article.php?id=21&amp;lang=Fr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2,074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ICOMIA</w:t>
            </w:r>
          </w:p>
        </w:tc>
      </w:tr>
      <w:tr w:rsidR="00097299" w:rsidRPr="00A7060D" w:rsidTr="007F22B2">
        <w:trPr>
          <w:trHeight w:val="103"/>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4.3</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Cruise tourism</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96</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1,366</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(low estimate) Eurostat, data for 2010</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83</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1,175</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(low estimate) National Statistics Office, support data Eurostat, 2010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F107AC">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15</w:t>
            </w:r>
            <w:r w:rsidR="00F107AC" w:rsidRPr="00A7060D">
              <w:rPr>
                <w:rFonts w:ascii="Calibri" w:eastAsia="Times New Roman" w:hAnsi="Calibri" w:cs="Calibri"/>
                <w:color w:val="000000"/>
                <w:sz w:val="20"/>
                <w:szCs w:val="20"/>
                <w:lang w:val="fr-BE" w:eastAsia="fr-BE"/>
              </w:rPr>
              <w:t>,0</w:t>
            </w:r>
            <w:r w:rsidRPr="00A7060D">
              <w:rPr>
                <w:rFonts w:ascii="Calibri" w:eastAsia="Times New Roman" w:hAnsi="Calibri" w:cs="Calibri"/>
                <w:color w:val="000000"/>
                <w:sz w:val="20"/>
                <w:szCs w:val="20"/>
                <w:lang w:val="fr-BE" w:eastAsia="fr-BE"/>
              </w:rPr>
              <w:t>00</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Croisierenet.com, 2011, http://www.tourmag.com/Croisiere-la-France-peut-mieux-faire--selon-le-Conseil-National-du-Tourisme_a41701.html</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20</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Conseil National du Tourisme, 2010</w:t>
            </w:r>
          </w:p>
        </w:tc>
      </w:tr>
      <w:tr w:rsidR="003D46EA" w:rsidRPr="00A7060D" w:rsidTr="00E8042A">
        <w:trPr>
          <w:trHeight w:val="325"/>
        </w:trPr>
        <w:tc>
          <w:tcPr>
            <w:tcW w:w="3119" w:type="dxa"/>
            <w:gridSpan w:val="4"/>
            <w:tcBorders>
              <w:top w:val="single" w:sz="4" w:space="0" w:color="auto"/>
              <w:left w:val="single" w:sz="4" w:space="0" w:color="auto"/>
              <w:bottom w:val="single" w:sz="4" w:space="0" w:color="auto"/>
              <w:right w:val="single" w:sz="4" w:space="0" w:color="auto"/>
            </w:tcBorders>
            <w:shd w:val="clear" w:color="000000" w:fill="0070C0"/>
            <w:vAlign w:val="center"/>
            <w:hideMark/>
          </w:tcPr>
          <w:p w:rsidR="000A6BC7" w:rsidRPr="00A7060D" w:rsidRDefault="000A6BC7" w:rsidP="00280A51">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b/>
                <w:bCs/>
                <w:color w:val="FFFFFF"/>
                <w:sz w:val="20"/>
                <w:szCs w:val="20"/>
                <w:lang w:val="fr-BE" w:eastAsia="fr-BE"/>
              </w:rPr>
              <w:t>5. Coastal protection</w:t>
            </w:r>
          </w:p>
        </w:tc>
        <w:tc>
          <w:tcPr>
            <w:tcW w:w="992" w:type="dxa"/>
            <w:tcBorders>
              <w:top w:val="nil"/>
              <w:left w:val="nil"/>
              <w:bottom w:val="single" w:sz="4" w:space="0" w:color="auto"/>
              <w:right w:val="single" w:sz="8"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88" w:type="dxa"/>
            <w:tcBorders>
              <w:top w:val="nil"/>
              <w:left w:val="single" w:sz="4" w:space="0" w:color="auto"/>
              <w:bottom w:val="single" w:sz="4" w:space="0" w:color="auto"/>
              <w:right w:val="single" w:sz="4" w:space="0" w:color="auto"/>
            </w:tcBorders>
            <w:shd w:val="clear" w:color="000000" w:fill="0070C0"/>
            <w:vAlign w:val="center"/>
            <w:hideMark/>
          </w:tcPr>
          <w:p w:rsidR="000A6BC7" w:rsidRPr="00A7060D" w:rsidRDefault="000A6BC7"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365"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276" w:type="dxa"/>
            <w:tcBorders>
              <w:top w:val="nil"/>
              <w:left w:val="nil"/>
              <w:bottom w:val="single" w:sz="4" w:space="0" w:color="auto"/>
              <w:right w:val="single" w:sz="8"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50" w:type="dxa"/>
            <w:tcBorders>
              <w:top w:val="nil"/>
              <w:left w:val="single" w:sz="4" w:space="0" w:color="auto"/>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92"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418"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850"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06"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r>
      <w:tr w:rsidR="00E44638" w:rsidRPr="00EC0540" w:rsidTr="007F22B2">
        <w:trPr>
          <w:trHeight w:val="100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5.1</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sz w:val="20"/>
                <w:szCs w:val="20"/>
                <w:lang w:val="en-GB" w:eastAsia="fr-BE"/>
              </w:rPr>
            </w:pPr>
            <w:r w:rsidRPr="00A7060D">
              <w:rPr>
                <w:rFonts w:ascii="Calibri" w:eastAsia="Times New Roman" w:hAnsi="Calibri" w:cs="Calibri"/>
                <w:sz w:val="20"/>
                <w:szCs w:val="20"/>
                <w:lang w:val="en-GB" w:eastAsia="fr-BE"/>
              </w:rPr>
              <w:t xml:space="preserve">Protection against flooding and erosion, preventing salt </w:t>
            </w:r>
            <w:r w:rsidRPr="00A7060D">
              <w:rPr>
                <w:rFonts w:ascii="Calibri" w:eastAsia="Times New Roman" w:hAnsi="Calibri" w:cs="Calibri"/>
                <w:sz w:val="20"/>
                <w:szCs w:val="20"/>
                <w:lang w:val="en-GB" w:eastAsia="fr-BE"/>
              </w:rPr>
              <w:lastRenderedPageBreak/>
              <w:t>water intrusion, protection of habitats</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en-GB" w:eastAsia="fr-BE"/>
              </w:rPr>
              <w:lastRenderedPageBreak/>
              <w:t>12</w:t>
            </w:r>
          </w:p>
        </w:tc>
        <w:tc>
          <w:tcPr>
            <w:tcW w:w="992" w:type="dxa"/>
            <w:tcBorders>
              <w:top w:val="nil"/>
              <w:left w:val="nil"/>
              <w:bottom w:val="single" w:sz="8" w:space="0" w:color="auto"/>
              <w:right w:val="single" w:sz="8"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en-GB" w:eastAsia="fr-BE"/>
              </w:rPr>
              <w:t>118</w:t>
            </w:r>
          </w:p>
        </w:tc>
        <w:tc>
          <w:tcPr>
            <w:tcW w:w="992" w:type="dxa"/>
            <w:tcBorders>
              <w:top w:val="nil"/>
              <w:left w:val="nil"/>
              <w:bottom w:val="single" w:sz="8" w:space="0" w:color="auto"/>
              <w:right w:val="single" w:sz="8" w:space="0" w:color="auto"/>
            </w:tcBorders>
            <w:shd w:val="clear" w:color="auto" w:fill="auto"/>
            <w:vAlign w:val="center"/>
            <w:hideMark/>
          </w:tcPr>
          <w:p w:rsidR="001B68AA" w:rsidRPr="00A7060D" w:rsidRDefault="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en-GB" w:eastAsia="fr-BE"/>
              </w:rPr>
              <w:t>Eurostat COFOG, 2010 and PRC, 2008</w:t>
            </w:r>
          </w:p>
        </w:tc>
        <w:tc>
          <w:tcPr>
            <w:tcW w:w="888" w:type="dxa"/>
            <w:tcBorders>
              <w:top w:val="nil"/>
              <w:left w:val="single" w:sz="4" w:space="0" w:color="auto"/>
              <w:bottom w:val="single" w:sz="4" w:space="0" w:color="auto"/>
              <w:right w:val="single" w:sz="4" w:space="0" w:color="auto"/>
            </w:tcBorders>
            <w:shd w:val="clear" w:color="000000" w:fill="FFFFFF"/>
            <w:vAlign w:val="center"/>
            <w:hideMark/>
          </w:tcPr>
          <w:p w:rsidR="001B68AA" w:rsidRPr="00A7060D" w:rsidRDefault="001B68AA" w:rsidP="007F22B2">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1365" w:type="dxa"/>
            <w:tcBorders>
              <w:top w:val="nil"/>
              <w:left w:val="nil"/>
              <w:bottom w:val="single" w:sz="4" w:space="0" w:color="auto"/>
              <w:right w:val="single" w:sz="4" w:space="0" w:color="auto"/>
            </w:tcBorders>
            <w:shd w:val="clear" w:color="000000" w:fill="FFFFFF"/>
            <w:vAlign w:val="center"/>
            <w:hideMark/>
          </w:tcPr>
          <w:p w:rsidR="001B68AA" w:rsidRPr="00A7060D" w:rsidRDefault="001B68AA" w:rsidP="007F22B2">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1276" w:type="dxa"/>
            <w:tcBorders>
              <w:top w:val="nil"/>
              <w:left w:val="nil"/>
              <w:bottom w:val="single" w:sz="4" w:space="0" w:color="auto"/>
              <w:right w:val="single" w:sz="8" w:space="0" w:color="auto"/>
            </w:tcBorders>
            <w:shd w:val="clear" w:color="000000" w:fill="FFFFFF"/>
            <w:vAlign w:val="center"/>
            <w:hideMark/>
          </w:tcPr>
          <w:p w:rsidR="001B68AA" w:rsidRPr="00A7060D" w:rsidRDefault="001B68AA" w:rsidP="007F22B2">
            <w:pPr>
              <w:spacing w:before="0"/>
              <w:jc w:val="center"/>
              <w:rPr>
                <w:rFonts w:ascii="Calibri" w:eastAsia="Times New Roman" w:hAnsi="Calibri" w:cs="Calibri"/>
                <w:b/>
                <w:bCs/>
                <w:sz w:val="20"/>
                <w:szCs w:val="20"/>
                <w:lang w:val="fr-BE" w:eastAsia="fr-BE"/>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7F22B2">
            <w:pPr>
              <w:spacing w:before="0"/>
              <w:jc w:val="center"/>
              <w:rPr>
                <w:rFonts w:ascii="Calibri" w:eastAsia="Times New Roman" w:hAnsi="Calibri" w:cs="Calibri"/>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157</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pPr>
              <w:spacing w:before="0"/>
              <w:jc w:val="center"/>
              <w:rPr>
                <w:rFonts w:ascii="Calibri" w:eastAsia="Times New Roman" w:hAnsi="Calibri" w:cs="Calibri"/>
                <w:sz w:val="20"/>
                <w:szCs w:val="20"/>
                <w:lang w:val="en-GB" w:eastAsia="fr-BE"/>
              </w:rPr>
            </w:pPr>
            <w:r w:rsidRPr="00A7060D">
              <w:rPr>
                <w:rFonts w:ascii="Calibri" w:eastAsia="Times New Roman" w:hAnsi="Calibri" w:cs="Calibri"/>
                <w:sz w:val="20"/>
                <w:szCs w:val="20"/>
                <w:lang w:val="en-GB" w:eastAsia="fr-BE"/>
              </w:rPr>
              <w:t>Insee, 2009, http://www.insee.fr/fr/themes/detail.asp?reg_id=0&amp;ref_id=esa-construction-2009&amp;page</w:t>
            </w:r>
            <w:r w:rsidRPr="00A7060D">
              <w:rPr>
                <w:rFonts w:ascii="Calibri" w:eastAsia="Times New Roman" w:hAnsi="Calibri" w:cs="Calibri"/>
                <w:sz w:val="20"/>
                <w:szCs w:val="20"/>
                <w:lang w:val="en-GB" w:eastAsia="fr-BE"/>
              </w:rPr>
              <w:lastRenderedPageBreak/>
              <w:t>=donnees-detaillees/esa/esa-construction/esa-construction-2009/fiche4291Z.html</w:t>
            </w:r>
          </w:p>
        </w:tc>
      </w:tr>
      <w:tr w:rsidR="000A6BC7" w:rsidRPr="00A7060D" w:rsidTr="007F22B2">
        <w:trPr>
          <w:trHeight w:val="356"/>
        </w:trPr>
        <w:tc>
          <w:tcPr>
            <w:tcW w:w="4999" w:type="dxa"/>
            <w:gridSpan w:val="6"/>
            <w:tcBorders>
              <w:top w:val="single" w:sz="4" w:space="0" w:color="auto"/>
              <w:left w:val="single" w:sz="4" w:space="0" w:color="auto"/>
              <w:bottom w:val="single" w:sz="4" w:space="0" w:color="auto"/>
              <w:right w:val="single" w:sz="4" w:space="0" w:color="auto"/>
            </w:tcBorders>
            <w:shd w:val="clear" w:color="000000" w:fill="0070C0"/>
            <w:vAlign w:val="center"/>
            <w:hideMark/>
          </w:tcPr>
          <w:p w:rsidR="000A6BC7" w:rsidRPr="00A7060D" w:rsidRDefault="000A6BC7" w:rsidP="00280A51">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b/>
                <w:bCs/>
                <w:color w:val="FFFFFF"/>
                <w:sz w:val="20"/>
                <w:szCs w:val="20"/>
                <w:lang w:val="fr-BE" w:eastAsia="fr-BE"/>
              </w:rPr>
              <w:lastRenderedPageBreak/>
              <w:t>6. Maritime monitoring and surveillance</w:t>
            </w:r>
            <w:r w:rsidRPr="00A7060D">
              <w:rPr>
                <w:rFonts w:ascii="Calibri" w:eastAsia="Times New Roman" w:hAnsi="Calibri" w:cs="Calibri"/>
                <w:color w:val="000000"/>
                <w:sz w:val="20"/>
                <w:szCs w:val="20"/>
                <w:lang w:val="fr-BE" w:eastAsia="fr-BE"/>
              </w:rPr>
              <w:t> </w:t>
            </w:r>
          </w:p>
        </w:tc>
        <w:tc>
          <w:tcPr>
            <w:tcW w:w="1365"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276" w:type="dxa"/>
            <w:tcBorders>
              <w:top w:val="nil"/>
              <w:left w:val="nil"/>
              <w:bottom w:val="single" w:sz="4" w:space="0" w:color="auto"/>
              <w:right w:val="single" w:sz="8" w:space="0" w:color="auto"/>
            </w:tcBorders>
            <w:shd w:val="clear" w:color="000000" w:fill="0070C0"/>
            <w:vAlign w:val="center"/>
            <w:hideMark/>
          </w:tcPr>
          <w:p w:rsidR="000A6BC7" w:rsidRPr="00A7060D" w:rsidRDefault="000A6BC7"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50" w:type="dxa"/>
            <w:tcBorders>
              <w:top w:val="nil"/>
              <w:left w:val="single" w:sz="4" w:space="0" w:color="auto"/>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92"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418"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850"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906"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c>
          <w:tcPr>
            <w:tcW w:w="1134" w:type="dxa"/>
            <w:tcBorders>
              <w:top w:val="nil"/>
              <w:left w:val="nil"/>
              <w:bottom w:val="single" w:sz="4" w:space="0" w:color="auto"/>
              <w:right w:val="single" w:sz="4" w:space="0" w:color="auto"/>
            </w:tcBorders>
            <w:shd w:val="clear" w:color="000000" w:fill="0070C0"/>
            <w:vAlign w:val="center"/>
            <w:hideMark/>
          </w:tcPr>
          <w:p w:rsidR="000A6BC7" w:rsidRPr="00A7060D" w:rsidRDefault="000A6BC7" w:rsidP="001B68AA">
            <w:pPr>
              <w:spacing w:before="0"/>
              <w:jc w:val="left"/>
              <w:rPr>
                <w:rFonts w:ascii="Calibri" w:eastAsia="Times New Roman" w:hAnsi="Calibri" w:cs="Calibri"/>
                <w:b/>
                <w:bCs/>
                <w:color w:val="FFFFFF"/>
                <w:sz w:val="20"/>
                <w:szCs w:val="20"/>
                <w:lang w:val="fr-BE" w:eastAsia="fr-BE"/>
              </w:rPr>
            </w:pPr>
            <w:r w:rsidRPr="00A7060D">
              <w:rPr>
                <w:rFonts w:ascii="Calibri" w:eastAsia="Times New Roman" w:hAnsi="Calibri" w:cs="Calibri"/>
                <w:b/>
                <w:bCs/>
                <w:color w:val="FFFFFF"/>
                <w:sz w:val="20"/>
                <w:szCs w:val="20"/>
                <w:lang w:val="fr-BE" w:eastAsia="fr-BE"/>
              </w:rPr>
              <w:t> </w:t>
            </w:r>
          </w:p>
        </w:tc>
      </w:tr>
      <w:tr w:rsidR="003D46EA" w:rsidRPr="00A7060D" w:rsidTr="00E8042A">
        <w:trPr>
          <w:trHeight w:val="312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6.1/6.2</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sz w:val="20"/>
                <w:szCs w:val="20"/>
                <w:lang w:val="en-GB" w:eastAsia="fr-BE"/>
              </w:rPr>
            </w:pPr>
            <w:r w:rsidRPr="00A7060D">
              <w:rPr>
                <w:rFonts w:ascii="Calibri" w:eastAsia="Times New Roman" w:hAnsi="Calibri" w:cs="Calibri"/>
                <w:sz w:val="20"/>
                <w:szCs w:val="20"/>
                <w:lang w:val="en-GB" w:eastAsia="fr-BE"/>
              </w:rPr>
              <w:t xml:space="preserve">Traceability and security of goods supply chains, prevention and protection against illegal movement of people and goods, </w:t>
            </w:r>
          </w:p>
        </w:tc>
        <w:tc>
          <w:tcPr>
            <w:tcW w:w="851" w:type="dxa"/>
            <w:tcBorders>
              <w:top w:val="nil"/>
              <w:left w:val="nil"/>
              <w:bottom w:val="single" w:sz="4" w:space="0" w:color="auto"/>
              <w:right w:val="single" w:sz="4" w:space="0" w:color="auto"/>
            </w:tcBorders>
            <w:shd w:val="clear" w:color="000000" w:fill="FFFFFF"/>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992" w:type="dxa"/>
            <w:tcBorders>
              <w:top w:val="nil"/>
              <w:left w:val="nil"/>
              <w:bottom w:val="single" w:sz="4" w:space="0" w:color="auto"/>
              <w:right w:val="single" w:sz="4" w:space="0" w:color="auto"/>
            </w:tcBorders>
            <w:shd w:val="clear" w:color="000000" w:fill="FFFFFF"/>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992" w:type="dxa"/>
            <w:tcBorders>
              <w:top w:val="nil"/>
              <w:left w:val="nil"/>
              <w:bottom w:val="single" w:sz="4" w:space="0" w:color="auto"/>
              <w:right w:val="single" w:sz="8" w:space="0" w:color="auto"/>
            </w:tcBorders>
            <w:shd w:val="clear" w:color="000000" w:fill="FFFFFF"/>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p>
        </w:tc>
        <w:tc>
          <w:tcPr>
            <w:tcW w:w="888" w:type="dxa"/>
            <w:tcBorders>
              <w:top w:val="nil"/>
              <w:left w:val="single" w:sz="4" w:space="0" w:color="auto"/>
              <w:bottom w:val="single" w:sz="4" w:space="0" w:color="auto"/>
              <w:right w:val="single" w:sz="4" w:space="0" w:color="auto"/>
            </w:tcBorders>
            <w:shd w:val="clear" w:color="000000" w:fill="FFFFFF"/>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1365" w:type="dxa"/>
            <w:tcBorders>
              <w:top w:val="nil"/>
              <w:left w:val="nil"/>
              <w:bottom w:val="single" w:sz="4" w:space="0" w:color="auto"/>
              <w:right w:val="single" w:sz="4" w:space="0" w:color="auto"/>
            </w:tcBorders>
            <w:shd w:val="clear" w:color="000000" w:fill="FFFFFF"/>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1276" w:type="dxa"/>
            <w:tcBorders>
              <w:top w:val="nil"/>
              <w:left w:val="nil"/>
              <w:bottom w:val="single" w:sz="4" w:space="0" w:color="auto"/>
              <w:right w:val="single" w:sz="8" w:space="0" w:color="auto"/>
            </w:tcBorders>
            <w:shd w:val="clear" w:color="000000" w:fill="FFFFFF"/>
            <w:vAlign w:val="center"/>
            <w:hideMark/>
          </w:tcPr>
          <w:p w:rsidR="001B68AA" w:rsidRPr="00A7060D" w:rsidRDefault="001B68AA" w:rsidP="00F107AC">
            <w:pPr>
              <w:spacing w:before="0"/>
              <w:jc w:val="center"/>
              <w:rPr>
                <w:rFonts w:ascii="Calibri" w:eastAsia="Times New Roman" w:hAnsi="Calibri" w:cs="Calibri"/>
                <w:b/>
                <w:bCs/>
                <w:sz w:val="20"/>
                <w:szCs w:val="20"/>
                <w:lang w:val="fr-BE" w:eastAsia="fr-BE"/>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r w:rsidRPr="00A7060D">
              <w:rPr>
                <w:rFonts w:ascii="Calibri" w:eastAsia="Times New Roman" w:hAnsi="Calibri" w:cs="Calibri"/>
                <w:sz w:val="20"/>
                <w:szCs w:val="20"/>
                <w:lang w:val="fr-BE" w:eastAsia="fr-BE"/>
              </w:rPr>
              <w:t>n/a</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F107AC">
            <w:pPr>
              <w:spacing w:before="0"/>
              <w:jc w:val="center"/>
              <w:rPr>
                <w:rFonts w:ascii="Calibri" w:eastAsia="Times New Roman" w:hAnsi="Calibri" w:cs="Calibri"/>
                <w:sz w:val="20"/>
                <w:szCs w:val="20"/>
                <w:lang w:val="fr-BE" w:eastAsia="fr-BE"/>
              </w:rPr>
            </w:pPr>
          </w:p>
        </w:tc>
      </w:tr>
      <w:tr w:rsidR="00097299" w:rsidRPr="00A7060D" w:rsidTr="007F22B2">
        <w:trPr>
          <w:trHeight w:val="120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righ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lastRenderedPageBreak/>
              <w:t>6.3</w:t>
            </w:r>
          </w:p>
        </w:tc>
        <w:tc>
          <w:tcPr>
            <w:tcW w:w="743"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environmental monitoring</w:t>
            </w:r>
          </w:p>
        </w:tc>
        <w:tc>
          <w:tcPr>
            <w:tcW w:w="851"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No data found centrally. Problem of different definitions applied across sources &amp; countries.</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365"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276" w:type="dxa"/>
            <w:tcBorders>
              <w:top w:val="nil"/>
              <w:left w:val="nil"/>
              <w:bottom w:val="single" w:sz="4" w:space="0" w:color="auto"/>
              <w:right w:val="single" w:sz="8" w:space="0" w:color="auto"/>
            </w:tcBorders>
            <w:shd w:val="clear" w:color="auto" w:fill="auto"/>
            <w:vAlign w:val="center"/>
            <w:hideMark/>
          </w:tcPr>
          <w:p w:rsidR="001B68AA" w:rsidRPr="00A7060D" w:rsidRDefault="001B68AA" w:rsidP="001B68AA">
            <w:pPr>
              <w:spacing w:before="0"/>
              <w:jc w:val="left"/>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992"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1418"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n/a</w:t>
            </w:r>
          </w:p>
        </w:tc>
        <w:tc>
          <w:tcPr>
            <w:tcW w:w="850"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906"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c>
          <w:tcPr>
            <w:tcW w:w="1134" w:type="dxa"/>
            <w:tcBorders>
              <w:top w:val="nil"/>
              <w:left w:val="nil"/>
              <w:bottom w:val="single" w:sz="4" w:space="0" w:color="auto"/>
              <w:right w:val="single" w:sz="4" w:space="0" w:color="auto"/>
            </w:tcBorders>
            <w:shd w:val="clear" w:color="auto" w:fill="auto"/>
            <w:vAlign w:val="center"/>
            <w:hideMark/>
          </w:tcPr>
          <w:p w:rsidR="001B68AA" w:rsidRPr="00A7060D" w:rsidRDefault="001B68AA" w:rsidP="001B68AA">
            <w:pPr>
              <w:spacing w:before="0"/>
              <w:jc w:val="center"/>
              <w:rPr>
                <w:rFonts w:ascii="Calibri" w:eastAsia="Times New Roman" w:hAnsi="Calibri" w:cs="Calibri"/>
                <w:color w:val="000000"/>
                <w:sz w:val="20"/>
                <w:szCs w:val="20"/>
                <w:lang w:val="fr-BE" w:eastAsia="fr-BE"/>
              </w:rPr>
            </w:pPr>
            <w:r w:rsidRPr="00A7060D">
              <w:rPr>
                <w:rFonts w:ascii="Calibri" w:eastAsia="Times New Roman" w:hAnsi="Calibri" w:cs="Calibri"/>
                <w:color w:val="000000"/>
                <w:sz w:val="20"/>
                <w:szCs w:val="20"/>
                <w:lang w:val="fr-BE" w:eastAsia="fr-BE"/>
              </w:rPr>
              <w:t> </w:t>
            </w:r>
          </w:p>
        </w:tc>
      </w:tr>
      <w:tr w:rsidR="00276BD7" w:rsidRPr="00A7060D" w:rsidTr="00280A51">
        <w:trPr>
          <w:trHeight w:val="300"/>
        </w:trPr>
        <w:tc>
          <w:tcPr>
            <w:tcW w:w="12884"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xml:space="preserve">* As SMEs data could not be found, indirect data has been retrieved from INSEE. Data reported concerns enterprises with more than 10 or 20 employees.  </w:t>
            </w:r>
          </w:p>
        </w:tc>
        <w:tc>
          <w:tcPr>
            <w:tcW w:w="906" w:type="dxa"/>
            <w:tcBorders>
              <w:top w:val="nil"/>
              <w:left w:val="nil"/>
              <w:bottom w:val="single" w:sz="4" w:space="0" w:color="auto"/>
              <w:right w:val="single" w:sz="4" w:space="0" w:color="auto"/>
            </w:tcBorders>
            <w:shd w:val="clear" w:color="auto" w:fill="auto"/>
            <w:vAlign w:val="bottom"/>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c>
          <w:tcPr>
            <w:tcW w:w="1134" w:type="dxa"/>
            <w:tcBorders>
              <w:top w:val="nil"/>
              <w:left w:val="nil"/>
              <w:bottom w:val="single" w:sz="4" w:space="0" w:color="auto"/>
              <w:right w:val="single" w:sz="4" w:space="0" w:color="auto"/>
            </w:tcBorders>
            <w:shd w:val="clear" w:color="auto" w:fill="auto"/>
            <w:vAlign w:val="bottom"/>
            <w:hideMark/>
          </w:tcPr>
          <w:p w:rsidR="001B68AA" w:rsidRPr="00A7060D" w:rsidRDefault="001B68AA" w:rsidP="001B68AA">
            <w:pPr>
              <w:spacing w:before="0"/>
              <w:jc w:val="left"/>
              <w:rPr>
                <w:rFonts w:ascii="Calibri" w:eastAsia="Times New Roman" w:hAnsi="Calibri" w:cs="Calibri"/>
                <w:color w:val="000000"/>
                <w:sz w:val="20"/>
                <w:szCs w:val="20"/>
                <w:lang w:val="en-GB" w:eastAsia="fr-BE"/>
              </w:rPr>
            </w:pPr>
            <w:r w:rsidRPr="00A7060D">
              <w:rPr>
                <w:rFonts w:ascii="Calibri" w:eastAsia="Times New Roman" w:hAnsi="Calibri" w:cs="Calibri"/>
                <w:color w:val="000000"/>
                <w:sz w:val="20"/>
                <w:szCs w:val="20"/>
                <w:lang w:val="en-GB" w:eastAsia="fr-BE"/>
              </w:rPr>
              <w:t> </w:t>
            </w:r>
          </w:p>
        </w:tc>
      </w:tr>
    </w:tbl>
    <w:p w:rsidR="007127CC" w:rsidRDefault="007127CC" w:rsidP="007127CC">
      <w:pPr>
        <w:rPr>
          <w:lang w:val="en-GB"/>
        </w:rPr>
      </w:pPr>
    </w:p>
    <w:p w:rsidR="007127CC" w:rsidRDefault="007127CC" w:rsidP="007127CC">
      <w:pPr>
        <w:rPr>
          <w:lang w:val="en-GB"/>
        </w:rPr>
        <w:sectPr w:rsidR="007127CC" w:rsidSect="000138C7">
          <w:pgSz w:w="16838" w:h="11906" w:orient="landscape"/>
          <w:pgMar w:top="1134" w:right="1387" w:bottom="1134" w:left="1134" w:header="284" w:footer="93" w:gutter="0"/>
          <w:cols w:space="708"/>
          <w:docGrid w:linePitch="360"/>
        </w:sectPr>
      </w:pPr>
    </w:p>
    <w:p w:rsidR="00A472D7" w:rsidRPr="00195A7F" w:rsidRDefault="00A472D7" w:rsidP="00A472D7">
      <w:pPr>
        <w:pStyle w:val="Heading1"/>
      </w:pPr>
      <w:bookmarkStart w:id="61" w:name="_Toc361921751"/>
      <w:bookmarkStart w:id="62" w:name="_Toc369887019"/>
      <w:r>
        <w:lastRenderedPageBreak/>
        <w:t xml:space="preserve">Annex II - </w:t>
      </w:r>
      <w:r w:rsidRPr="00195A7F">
        <w:t>Compound Annual Growth Rates (CAGR) of the maritime economic activities</w:t>
      </w:r>
      <w:bookmarkEnd w:id="61"/>
      <w:bookmarkEnd w:id="62"/>
    </w:p>
    <w:p w:rsidR="00A472D7" w:rsidRDefault="00A472D7" w:rsidP="00A472D7">
      <w:pPr>
        <w:pStyle w:val="Caption"/>
        <w:ind w:left="0" w:firstLine="0"/>
        <w:rPr>
          <w:rFonts w:eastAsiaTheme="minorHAnsi" w:cstheme="minorBidi"/>
          <w:b w:val="0"/>
          <w:bCs w:val="0"/>
          <w:color w:val="auto"/>
          <w:sz w:val="22"/>
          <w:szCs w:val="22"/>
        </w:rPr>
      </w:pPr>
      <w:r>
        <w:rPr>
          <w:rFonts w:eastAsiaTheme="minorHAnsi" w:cstheme="minorBidi"/>
          <w:b w:val="0"/>
          <w:bCs w:val="0"/>
          <w:color w:val="auto"/>
          <w:sz w:val="22"/>
          <w:szCs w:val="22"/>
        </w:rPr>
        <w:t>Table 12 provides a detailed overview of the Compound Annual Growth Rate (CAGR) of the maritime economic activities. The growth of the sector is based on the growth of GVA and/or employment or alternative indicators if this results in a better data availability or an improved comparison base over a longer period</w:t>
      </w:r>
      <w:r>
        <w:rPr>
          <w:rStyle w:val="FootnoteReference"/>
          <w:rFonts w:eastAsiaTheme="minorHAnsi" w:cstheme="minorBidi"/>
          <w:b w:val="0"/>
          <w:bCs w:val="0"/>
          <w:color w:val="auto"/>
          <w:sz w:val="22"/>
          <w:szCs w:val="22"/>
        </w:rPr>
        <w:footnoteReference w:id="164"/>
      </w:r>
      <w:r>
        <w:rPr>
          <w:rFonts w:eastAsiaTheme="minorHAnsi" w:cstheme="minorBidi"/>
          <w:b w:val="0"/>
          <w:bCs w:val="0"/>
          <w:color w:val="auto"/>
          <w:sz w:val="22"/>
          <w:szCs w:val="22"/>
        </w:rPr>
        <w:t xml:space="preserve">. Results are shown for the 2008-2010 period and the period 2000-2012. The data for the 2008-2010 period are included in table 7 (chapter 2.2. ranking order for the 7 fastest growing maritime economic activities over the past 3 years) unless the longer term figure leads to a deviating conclusion. </w:t>
      </w:r>
    </w:p>
    <w:p w:rsidR="00A472D7" w:rsidRDefault="00A472D7" w:rsidP="00A472D7">
      <w:pPr>
        <w:pStyle w:val="Caption"/>
      </w:pPr>
      <w:r>
        <w:t>Table 12 – Growth rates of MAEs 2008-2010 and 2000-2012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518"/>
        <w:gridCol w:w="992"/>
        <w:gridCol w:w="993"/>
        <w:gridCol w:w="3118"/>
      </w:tblGrid>
      <w:tr w:rsidR="00A472D7" w:rsidRPr="00A7060D" w:rsidTr="00E34B4A">
        <w:trPr>
          <w:trHeight w:val="445"/>
          <w:tblHeader/>
        </w:trPr>
        <w:tc>
          <w:tcPr>
            <w:tcW w:w="2268" w:type="dxa"/>
            <w:gridSpan w:val="2"/>
            <w:shd w:val="clear" w:color="000000" w:fill="DBE5F1"/>
            <w:vAlign w:val="center"/>
            <w:hideMark/>
          </w:tcPr>
          <w:p w:rsidR="00A472D7" w:rsidRPr="00A7060D" w:rsidRDefault="00A472D7" w:rsidP="00E34B4A">
            <w:pPr>
              <w:keepNext/>
              <w:keepLines/>
              <w:contextualSpacing/>
              <w:jc w:val="left"/>
              <w:rPr>
                <w:rFonts w:ascii="Calibri" w:eastAsia="Times New Roman" w:hAnsi="Calibri" w:cs="Times New Roman"/>
                <w:b/>
                <w:bCs/>
                <w:color w:val="000000"/>
                <w:sz w:val="20"/>
                <w:szCs w:val="20"/>
                <w:lang w:val="en-GB" w:eastAsia="en-GB"/>
              </w:rPr>
            </w:pPr>
            <w:r w:rsidRPr="00A7060D">
              <w:rPr>
                <w:rFonts w:ascii="Calibri" w:eastAsia="Times New Roman" w:hAnsi="Calibri" w:cs="Times New Roman"/>
                <w:b/>
                <w:bCs/>
                <w:color w:val="000000"/>
                <w:sz w:val="20"/>
                <w:szCs w:val="20"/>
                <w:lang w:val="en-GB" w:eastAsia="en-GB"/>
              </w:rPr>
              <w:t>Maritime economic activity</w:t>
            </w:r>
          </w:p>
        </w:tc>
        <w:tc>
          <w:tcPr>
            <w:tcW w:w="2518" w:type="dxa"/>
            <w:shd w:val="clear" w:color="000000" w:fill="DBE5F1"/>
            <w:vAlign w:val="center"/>
          </w:tcPr>
          <w:p w:rsidR="00A472D7" w:rsidRPr="00A7060D" w:rsidRDefault="00A472D7" w:rsidP="00E34B4A">
            <w:pPr>
              <w:keepNext/>
              <w:keepLines/>
              <w:contextualSpacing/>
              <w:jc w:val="left"/>
              <w:rPr>
                <w:b/>
                <w:sz w:val="20"/>
                <w:szCs w:val="20"/>
                <w:lang w:val="en-GB"/>
              </w:rPr>
            </w:pPr>
            <w:r>
              <w:rPr>
                <w:b/>
                <w:sz w:val="20"/>
                <w:szCs w:val="20"/>
                <w:lang w:val="en-GB"/>
              </w:rPr>
              <w:t>Indicator</w:t>
            </w:r>
          </w:p>
        </w:tc>
        <w:tc>
          <w:tcPr>
            <w:tcW w:w="992" w:type="dxa"/>
            <w:shd w:val="clear" w:color="000000" w:fill="DBE5F1"/>
            <w:vAlign w:val="center"/>
          </w:tcPr>
          <w:p w:rsidR="00A472D7" w:rsidRDefault="00A472D7" w:rsidP="00E34B4A">
            <w:pPr>
              <w:keepNext/>
              <w:keepLines/>
              <w:contextualSpacing/>
              <w:jc w:val="center"/>
              <w:rPr>
                <w:b/>
                <w:sz w:val="20"/>
                <w:szCs w:val="20"/>
                <w:lang w:val="en-GB"/>
              </w:rPr>
            </w:pPr>
            <w:r w:rsidRPr="00336AE9">
              <w:rPr>
                <w:b/>
                <w:sz w:val="20"/>
                <w:szCs w:val="20"/>
                <w:lang w:val="en-GB"/>
              </w:rPr>
              <w:t>CAGR</w:t>
            </w:r>
          </w:p>
          <w:p w:rsidR="00A472D7" w:rsidRDefault="00A472D7" w:rsidP="00E34B4A">
            <w:pPr>
              <w:keepNext/>
              <w:keepLines/>
              <w:contextualSpacing/>
              <w:jc w:val="center"/>
              <w:rPr>
                <w:b/>
                <w:sz w:val="20"/>
                <w:szCs w:val="20"/>
                <w:lang w:val="en-GB"/>
              </w:rPr>
            </w:pPr>
            <w:r>
              <w:rPr>
                <w:b/>
                <w:sz w:val="20"/>
                <w:szCs w:val="20"/>
                <w:lang w:val="en-GB"/>
              </w:rPr>
              <w:t>2008-2010</w:t>
            </w:r>
            <w:r w:rsidRPr="00336AE9">
              <w:rPr>
                <w:b/>
                <w:sz w:val="20"/>
                <w:szCs w:val="20"/>
                <w:lang w:val="en-GB"/>
              </w:rPr>
              <w:t xml:space="preserve"> (%)</w:t>
            </w:r>
          </w:p>
        </w:tc>
        <w:tc>
          <w:tcPr>
            <w:tcW w:w="993" w:type="dxa"/>
            <w:shd w:val="clear" w:color="000000" w:fill="DBE5F1"/>
            <w:vAlign w:val="center"/>
          </w:tcPr>
          <w:p w:rsidR="00A472D7" w:rsidRPr="00A7060D" w:rsidRDefault="00A472D7" w:rsidP="00E34B4A">
            <w:pPr>
              <w:keepNext/>
              <w:keepLines/>
              <w:contextualSpacing/>
              <w:jc w:val="center"/>
              <w:rPr>
                <w:b/>
                <w:sz w:val="20"/>
                <w:szCs w:val="20"/>
                <w:lang w:val="en-GB"/>
              </w:rPr>
            </w:pPr>
            <w:r>
              <w:rPr>
                <w:b/>
                <w:sz w:val="20"/>
                <w:szCs w:val="20"/>
                <w:lang w:val="en-GB"/>
              </w:rPr>
              <w:t>CAGR 2000-2012 (%)</w:t>
            </w:r>
          </w:p>
        </w:tc>
        <w:tc>
          <w:tcPr>
            <w:tcW w:w="3118" w:type="dxa"/>
            <w:shd w:val="clear" w:color="000000" w:fill="DBE5F1"/>
            <w:vAlign w:val="center"/>
          </w:tcPr>
          <w:p w:rsidR="00A472D7" w:rsidRPr="00A7060D" w:rsidRDefault="00A472D7" w:rsidP="00E34B4A">
            <w:pPr>
              <w:keepNext/>
              <w:keepLines/>
              <w:contextualSpacing/>
              <w:jc w:val="left"/>
              <w:rPr>
                <w:b/>
                <w:sz w:val="20"/>
                <w:szCs w:val="20"/>
                <w:lang w:val="en-GB"/>
              </w:rPr>
            </w:pPr>
            <w:r w:rsidRPr="00A7060D">
              <w:rPr>
                <w:b/>
                <w:sz w:val="20"/>
                <w:szCs w:val="20"/>
                <w:lang w:val="en-GB"/>
              </w:rPr>
              <w:t>Source</w:t>
            </w:r>
          </w:p>
        </w:tc>
      </w:tr>
      <w:tr w:rsidR="00A472D7" w:rsidRPr="00A7060D" w:rsidTr="00E34B4A">
        <w:trPr>
          <w:trHeight w:val="20"/>
        </w:trPr>
        <w:tc>
          <w:tcPr>
            <w:tcW w:w="4786" w:type="dxa"/>
            <w:gridSpan w:val="3"/>
            <w:shd w:val="clear" w:color="000000" w:fill="0070C0"/>
            <w:vAlign w:val="center"/>
            <w:hideMark/>
          </w:tcPr>
          <w:p w:rsidR="00A472D7" w:rsidRPr="00A7060D" w:rsidRDefault="00A472D7" w:rsidP="00E34B4A">
            <w:pPr>
              <w:keepNext/>
              <w:keepLines/>
              <w:contextualSpacing/>
              <w:jc w:val="left"/>
              <w:rPr>
                <w:rFonts w:ascii="Calibri" w:eastAsia="Times New Roman" w:hAnsi="Calibri" w:cs="Times New Roman"/>
                <w:b/>
                <w:bCs/>
                <w:color w:val="FFFFFF"/>
                <w:sz w:val="20"/>
                <w:szCs w:val="20"/>
                <w:lang w:val="en-GB" w:eastAsia="en-GB"/>
              </w:rPr>
            </w:pPr>
            <w:r w:rsidRPr="00A7060D">
              <w:rPr>
                <w:rFonts w:ascii="Calibri" w:eastAsia="Times New Roman" w:hAnsi="Calibri" w:cs="Times New Roman"/>
                <w:b/>
                <w:bCs/>
                <w:color w:val="FFFFFF"/>
                <w:sz w:val="20"/>
                <w:szCs w:val="20"/>
                <w:lang w:val="en-GB" w:eastAsia="en-GB"/>
              </w:rPr>
              <w:t>0. Shipbuilding</w:t>
            </w:r>
          </w:p>
        </w:tc>
        <w:tc>
          <w:tcPr>
            <w:tcW w:w="992" w:type="dxa"/>
            <w:shd w:val="clear" w:color="000000" w:fill="0070C0"/>
          </w:tcPr>
          <w:p w:rsidR="00A472D7" w:rsidRPr="00A7060D" w:rsidRDefault="00A472D7" w:rsidP="00E34B4A">
            <w:pPr>
              <w:keepNext/>
              <w:keepLines/>
              <w:contextualSpacing/>
              <w:jc w:val="left"/>
              <w:rPr>
                <w:rFonts w:ascii="Calibri" w:eastAsia="Times New Roman" w:hAnsi="Calibri" w:cs="Times New Roman"/>
                <w:b/>
                <w:bCs/>
                <w:color w:val="FFFFFF"/>
                <w:sz w:val="20"/>
                <w:szCs w:val="20"/>
                <w:lang w:val="en-GB" w:eastAsia="en-GB"/>
              </w:rPr>
            </w:pPr>
          </w:p>
        </w:tc>
        <w:tc>
          <w:tcPr>
            <w:tcW w:w="993" w:type="dxa"/>
            <w:shd w:val="clear" w:color="000000" w:fill="0070C0"/>
          </w:tcPr>
          <w:p w:rsidR="00A472D7" w:rsidRPr="00A7060D" w:rsidRDefault="00A472D7" w:rsidP="00E34B4A">
            <w:pPr>
              <w:keepNext/>
              <w:keepLines/>
              <w:contextualSpacing/>
              <w:jc w:val="left"/>
              <w:rPr>
                <w:rFonts w:ascii="Calibri" w:eastAsia="Times New Roman" w:hAnsi="Calibri" w:cs="Times New Roman"/>
                <w:b/>
                <w:bCs/>
                <w:color w:val="FFFFFF"/>
                <w:sz w:val="20"/>
                <w:szCs w:val="20"/>
                <w:lang w:val="en-GB" w:eastAsia="en-GB"/>
              </w:rPr>
            </w:pPr>
          </w:p>
        </w:tc>
        <w:tc>
          <w:tcPr>
            <w:tcW w:w="3118" w:type="dxa"/>
            <w:shd w:val="clear" w:color="000000" w:fill="0070C0"/>
          </w:tcPr>
          <w:p w:rsidR="00A472D7" w:rsidRPr="00A7060D" w:rsidRDefault="00A472D7" w:rsidP="00E34B4A">
            <w:pPr>
              <w:keepNext/>
              <w:keepLines/>
              <w:contextualSpacing/>
              <w:jc w:val="left"/>
              <w:rPr>
                <w:rFonts w:ascii="Calibri" w:eastAsia="Times New Roman" w:hAnsi="Calibri" w:cs="Times New Roman"/>
                <w:b/>
                <w:bCs/>
                <w:color w:val="FFFFFF"/>
                <w:sz w:val="20"/>
                <w:szCs w:val="20"/>
                <w:lang w:val="en-GB" w:eastAsia="en-GB"/>
              </w:rPr>
            </w:pPr>
          </w:p>
        </w:tc>
      </w:tr>
      <w:tr w:rsidR="00A472D7" w:rsidRPr="00A7060D" w:rsidTr="00E34B4A">
        <w:trPr>
          <w:trHeight w:val="20"/>
        </w:trPr>
        <w:tc>
          <w:tcPr>
            <w:tcW w:w="567" w:type="dxa"/>
            <w:shd w:val="clear" w:color="auto" w:fill="auto"/>
            <w:vAlign w:val="center"/>
          </w:tcPr>
          <w:p w:rsidR="00A472D7" w:rsidRPr="00A7060D" w:rsidRDefault="00A472D7" w:rsidP="00E34B4A">
            <w:pPr>
              <w:keepNext/>
              <w:keepLines/>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0.1</w:t>
            </w:r>
          </w:p>
        </w:tc>
        <w:tc>
          <w:tcPr>
            <w:tcW w:w="1701" w:type="dxa"/>
            <w:shd w:val="clear" w:color="auto" w:fill="auto"/>
            <w:vAlign w:val="center"/>
          </w:tcPr>
          <w:p w:rsidR="00A472D7" w:rsidRPr="00A7060D" w:rsidRDefault="00A472D7" w:rsidP="00E34B4A">
            <w:pPr>
              <w:keepNext/>
              <w:keepLines/>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 xml:space="preserve">Shipbuilding </w:t>
            </w:r>
          </w:p>
        </w:tc>
        <w:tc>
          <w:tcPr>
            <w:tcW w:w="2518" w:type="dxa"/>
            <w:shd w:val="clear" w:color="auto" w:fill="auto"/>
            <w:vAlign w:val="center"/>
          </w:tcPr>
          <w:p w:rsidR="00A472D7" w:rsidRPr="00A7060D" w:rsidRDefault="00A472D7" w:rsidP="00E34B4A">
            <w:pPr>
              <w:keepNext/>
              <w:keepLines/>
              <w:contextualSpacing/>
              <w:jc w:val="left"/>
              <w:rPr>
                <w:rFonts w:ascii="Calibri" w:eastAsia="Times New Roman" w:hAnsi="Calibri" w:cs="Times New Roman"/>
                <w:sz w:val="20"/>
                <w:szCs w:val="20"/>
                <w:lang w:val="en-GB" w:eastAsia="en-GB"/>
              </w:rPr>
            </w:pPr>
            <w:r w:rsidRPr="00AC427C">
              <w:rPr>
                <w:rFonts w:ascii="Calibri" w:eastAsia="Times New Roman" w:hAnsi="Calibri" w:cs="Times New Roman"/>
                <w:color w:val="000000"/>
                <w:sz w:val="20"/>
                <w:szCs w:val="20"/>
                <w:lang w:val="en-GB" w:eastAsia="en-GB"/>
              </w:rPr>
              <w:t xml:space="preserve">Volume index of production, gross data </w:t>
            </w:r>
          </w:p>
        </w:tc>
        <w:tc>
          <w:tcPr>
            <w:tcW w:w="992" w:type="dxa"/>
            <w:vAlign w:val="center"/>
          </w:tcPr>
          <w:p w:rsidR="00A472D7" w:rsidRPr="00A7060D" w:rsidRDefault="00A472D7" w:rsidP="00E34B4A">
            <w:pPr>
              <w:keepNext/>
              <w:keepLines/>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10.7%</w:t>
            </w:r>
          </w:p>
        </w:tc>
        <w:tc>
          <w:tcPr>
            <w:tcW w:w="993" w:type="dxa"/>
            <w:vAlign w:val="center"/>
          </w:tcPr>
          <w:p w:rsidR="00A472D7" w:rsidRPr="00A7060D" w:rsidRDefault="00A472D7" w:rsidP="00E34B4A">
            <w:pPr>
              <w:keepNext/>
              <w:keepLines/>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sz w:val="20"/>
                <w:szCs w:val="20"/>
                <w:lang w:val="en-GB" w:eastAsia="en-GB"/>
              </w:rPr>
              <w:t>-2.0%</w:t>
            </w:r>
          </w:p>
        </w:tc>
        <w:tc>
          <w:tcPr>
            <w:tcW w:w="3118" w:type="dxa"/>
            <w:vAlign w:val="center"/>
          </w:tcPr>
          <w:p w:rsidR="00A472D7" w:rsidRPr="00A7060D" w:rsidRDefault="00A472D7" w:rsidP="00E34B4A">
            <w:pPr>
              <w:keepNext/>
              <w:keepLines/>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567" w:type="dxa"/>
            <w:shd w:val="clear" w:color="auto" w:fill="auto"/>
            <w:vAlign w:val="center"/>
          </w:tcPr>
          <w:p w:rsidR="00A472D7" w:rsidRPr="00A7060D" w:rsidRDefault="00A472D7" w:rsidP="00E34B4A">
            <w:pPr>
              <w:keepNext/>
              <w:keepLines/>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0.2</w:t>
            </w:r>
          </w:p>
        </w:tc>
        <w:tc>
          <w:tcPr>
            <w:tcW w:w="1701" w:type="dxa"/>
            <w:shd w:val="clear" w:color="auto" w:fill="auto"/>
            <w:vAlign w:val="center"/>
          </w:tcPr>
          <w:p w:rsidR="00A472D7" w:rsidRPr="00A7060D" w:rsidRDefault="00A472D7" w:rsidP="00E34B4A">
            <w:pPr>
              <w:keepNext/>
              <w:keepLines/>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Construction of water projects</w:t>
            </w:r>
          </w:p>
        </w:tc>
        <w:tc>
          <w:tcPr>
            <w:tcW w:w="2518" w:type="dxa"/>
            <w:shd w:val="clear" w:color="auto" w:fill="auto"/>
            <w:vAlign w:val="center"/>
          </w:tcPr>
          <w:p w:rsidR="00A472D7" w:rsidRPr="00A7060D" w:rsidRDefault="00A472D7" w:rsidP="00E34B4A">
            <w:pPr>
              <w:keepNext/>
              <w:keepLines/>
              <w:contextualSpacing/>
              <w:jc w:val="lef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GVA</w:t>
            </w:r>
          </w:p>
        </w:tc>
        <w:tc>
          <w:tcPr>
            <w:tcW w:w="992" w:type="dxa"/>
            <w:vAlign w:val="center"/>
          </w:tcPr>
          <w:p w:rsidR="00A472D7" w:rsidRPr="00A7060D" w:rsidRDefault="00A472D7" w:rsidP="00E34B4A">
            <w:pPr>
              <w:keepNext/>
              <w:keepLines/>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-45%</w:t>
            </w:r>
            <w:r>
              <w:rPr>
                <w:rStyle w:val="FootnoteReference"/>
                <w:rFonts w:ascii="Calibri" w:eastAsia="Times New Roman" w:hAnsi="Calibri" w:cs="Times New Roman"/>
                <w:sz w:val="20"/>
                <w:szCs w:val="20"/>
                <w:lang w:val="en-GB" w:eastAsia="en-GB"/>
              </w:rPr>
              <w:footnoteReference w:id="165"/>
            </w:r>
          </w:p>
        </w:tc>
        <w:tc>
          <w:tcPr>
            <w:tcW w:w="993" w:type="dxa"/>
            <w:vAlign w:val="center"/>
          </w:tcPr>
          <w:p w:rsidR="00A472D7" w:rsidRPr="00A7060D" w:rsidRDefault="00A472D7" w:rsidP="00E34B4A">
            <w:pPr>
              <w:keepNext/>
              <w:keepLines/>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n/a</w:t>
            </w:r>
          </w:p>
        </w:tc>
        <w:tc>
          <w:tcPr>
            <w:tcW w:w="3118" w:type="dxa"/>
            <w:vAlign w:val="center"/>
          </w:tcPr>
          <w:p w:rsidR="00A472D7" w:rsidRPr="00A7060D" w:rsidRDefault="00A472D7" w:rsidP="00E34B4A">
            <w:pPr>
              <w:keepNext/>
              <w:keepLines/>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4786" w:type="dxa"/>
            <w:gridSpan w:val="3"/>
            <w:shd w:val="clear" w:color="auto" w:fill="006DB6"/>
            <w:vAlign w:val="center"/>
          </w:tcPr>
          <w:p w:rsidR="00A472D7" w:rsidRPr="00A7060D" w:rsidRDefault="00A472D7" w:rsidP="00E34B4A">
            <w:pPr>
              <w:keepNext/>
              <w:keepLines/>
              <w:contextualSpacing/>
              <w:jc w:val="left"/>
              <w:rPr>
                <w:rFonts w:ascii="Calibri" w:eastAsia="Times New Roman" w:hAnsi="Calibri" w:cs="Times New Roman"/>
                <w:b/>
                <w:i/>
                <w:color w:val="FFFFFF" w:themeColor="background1"/>
                <w:sz w:val="20"/>
                <w:szCs w:val="20"/>
                <w:lang w:val="en-GB" w:eastAsia="en-GB"/>
              </w:rPr>
            </w:pPr>
            <w:r w:rsidRPr="00A7060D">
              <w:rPr>
                <w:rFonts w:ascii="Calibri" w:eastAsia="Times New Roman" w:hAnsi="Calibri" w:cs="Times New Roman"/>
                <w:b/>
                <w:bCs/>
                <w:color w:val="FFFFFF" w:themeColor="background1"/>
                <w:sz w:val="20"/>
                <w:szCs w:val="20"/>
                <w:lang w:val="en-GB" w:eastAsia="en-GB"/>
              </w:rPr>
              <w:t>1. Maritime transport</w:t>
            </w:r>
          </w:p>
        </w:tc>
        <w:tc>
          <w:tcPr>
            <w:tcW w:w="992" w:type="dxa"/>
            <w:shd w:val="clear" w:color="auto" w:fill="006DB6"/>
            <w:vAlign w:val="center"/>
          </w:tcPr>
          <w:p w:rsidR="00A472D7" w:rsidRPr="00A7060D" w:rsidRDefault="00A472D7" w:rsidP="00E34B4A">
            <w:pPr>
              <w:keepNext/>
              <w:keepLines/>
              <w:contextualSpacing/>
              <w:jc w:val="right"/>
              <w:rPr>
                <w:rFonts w:ascii="Calibri" w:eastAsia="Times New Roman" w:hAnsi="Calibri" w:cs="Times New Roman"/>
                <w:i/>
                <w:color w:val="FFFFFF" w:themeColor="background1"/>
                <w:sz w:val="20"/>
                <w:szCs w:val="20"/>
                <w:lang w:val="en-GB" w:eastAsia="en-GB"/>
              </w:rPr>
            </w:pPr>
          </w:p>
        </w:tc>
        <w:tc>
          <w:tcPr>
            <w:tcW w:w="993" w:type="dxa"/>
            <w:shd w:val="clear" w:color="auto" w:fill="006DB6"/>
          </w:tcPr>
          <w:p w:rsidR="00A472D7" w:rsidRPr="00A7060D" w:rsidRDefault="00A472D7" w:rsidP="00E34B4A">
            <w:pPr>
              <w:keepNext/>
              <w:keepLines/>
              <w:contextualSpacing/>
              <w:jc w:val="right"/>
              <w:rPr>
                <w:rFonts w:ascii="Calibri" w:eastAsia="Times New Roman" w:hAnsi="Calibri" w:cs="Times New Roman"/>
                <w:i/>
                <w:color w:val="FFFFFF" w:themeColor="background1"/>
                <w:sz w:val="20"/>
                <w:szCs w:val="20"/>
                <w:lang w:val="en-GB" w:eastAsia="en-GB"/>
              </w:rPr>
            </w:pPr>
          </w:p>
        </w:tc>
        <w:tc>
          <w:tcPr>
            <w:tcW w:w="3118" w:type="dxa"/>
            <w:shd w:val="clear" w:color="auto" w:fill="006DB6"/>
          </w:tcPr>
          <w:p w:rsidR="00A472D7" w:rsidRPr="00A7060D" w:rsidRDefault="00A472D7" w:rsidP="00E34B4A">
            <w:pPr>
              <w:keepNext/>
              <w:keepLines/>
              <w:contextualSpacing/>
              <w:jc w:val="left"/>
              <w:rPr>
                <w:rFonts w:ascii="Calibri" w:eastAsia="Times New Roman" w:hAnsi="Calibri" w:cs="Times New Roman"/>
                <w:i/>
                <w:color w:val="FFFFFF" w:themeColor="background1"/>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1.1</w:t>
            </w:r>
          </w:p>
        </w:tc>
        <w:tc>
          <w:tcPr>
            <w:tcW w:w="1701" w:type="dxa"/>
            <w:shd w:val="clear" w:color="auto" w:fill="auto"/>
            <w:vAlign w:val="center"/>
            <w:hideMark/>
          </w:tcPr>
          <w:p w:rsidR="00A472D7" w:rsidRPr="00A7060D" w:rsidRDefault="00A472D7" w:rsidP="00E34B4A">
            <w:pPr>
              <w:keepNext/>
              <w:keepLines/>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Deep-sea shipping</w:t>
            </w:r>
          </w:p>
        </w:tc>
        <w:tc>
          <w:tcPr>
            <w:tcW w:w="2518" w:type="dxa"/>
            <w:shd w:val="clear" w:color="auto" w:fill="auto"/>
          </w:tcPr>
          <w:p w:rsidR="00A472D7" w:rsidRPr="00A7060D" w:rsidRDefault="00A472D7" w:rsidP="00E34B4A">
            <w:pPr>
              <w:keepNext/>
              <w:keepLines/>
              <w:contextualSpacing/>
              <w:jc w:val="lef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Volume of deep-sea cargo shipped (tons)</w:t>
            </w:r>
          </w:p>
        </w:tc>
        <w:tc>
          <w:tcPr>
            <w:tcW w:w="992" w:type="dxa"/>
            <w:vAlign w:val="center"/>
          </w:tcPr>
          <w:p w:rsidR="00A472D7" w:rsidRPr="00A7060D" w:rsidRDefault="00A472D7" w:rsidP="00E34B4A">
            <w:pPr>
              <w:keepNext/>
              <w:keepLines/>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-5.4%</w:t>
            </w:r>
          </w:p>
        </w:tc>
        <w:tc>
          <w:tcPr>
            <w:tcW w:w="993" w:type="dxa"/>
            <w:vAlign w:val="center"/>
          </w:tcPr>
          <w:p w:rsidR="00A472D7" w:rsidRPr="00A7060D" w:rsidRDefault="00A472D7" w:rsidP="00E34B4A">
            <w:pPr>
              <w:keepNext/>
              <w:keepLines/>
              <w:contextualSpacing/>
              <w:jc w:val="right"/>
              <w:rPr>
                <w:rFonts w:ascii="Calibri" w:eastAsia="Times New Roman" w:hAnsi="Calibri" w:cs="Times New Roman"/>
                <w:i/>
                <w:color w:val="000000"/>
                <w:sz w:val="20"/>
                <w:szCs w:val="20"/>
                <w:lang w:val="en-GB" w:eastAsia="en-GB"/>
              </w:rPr>
            </w:pPr>
            <w:r>
              <w:rPr>
                <w:rFonts w:ascii="Calibri" w:eastAsia="Times New Roman" w:hAnsi="Calibri" w:cs="Times New Roman"/>
                <w:sz w:val="20"/>
                <w:szCs w:val="20"/>
                <w:lang w:val="en-GB" w:eastAsia="en-GB"/>
              </w:rPr>
              <w:t>-0.8%</w:t>
            </w:r>
            <w:r>
              <w:rPr>
                <w:rStyle w:val="FootnoteReference"/>
                <w:rFonts w:ascii="Calibri" w:eastAsia="Times New Roman" w:hAnsi="Calibri" w:cs="Times New Roman"/>
                <w:sz w:val="20"/>
                <w:szCs w:val="20"/>
                <w:lang w:val="en-GB" w:eastAsia="en-GB"/>
              </w:rPr>
              <w:footnoteReference w:id="166"/>
            </w:r>
          </w:p>
        </w:tc>
        <w:tc>
          <w:tcPr>
            <w:tcW w:w="3118" w:type="dxa"/>
            <w:vAlign w:val="center"/>
          </w:tcPr>
          <w:p w:rsidR="00A472D7" w:rsidRPr="00A7060D" w:rsidRDefault="00A472D7" w:rsidP="00E34B4A">
            <w:pPr>
              <w:keepNext/>
              <w:keepLines/>
              <w:contextualSpacing/>
              <w:jc w:val="left"/>
              <w:rPr>
                <w:rFonts w:ascii="Calibri" w:eastAsia="Times New Roman" w:hAnsi="Calibri" w:cs="Times New Roman"/>
                <w:i/>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1.2</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 xml:space="preserve">Short-sea shipping </w:t>
            </w:r>
          </w:p>
        </w:tc>
        <w:tc>
          <w:tcPr>
            <w:tcW w:w="2518" w:type="dxa"/>
            <w:shd w:val="clear" w:color="auto" w:fill="auto"/>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E07E8D">
              <w:rPr>
                <w:rFonts w:ascii="Calibri" w:eastAsia="Times New Roman" w:hAnsi="Calibri" w:cs="Times New Roman"/>
                <w:color w:val="000000"/>
                <w:sz w:val="20"/>
                <w:szCs w:val="20"/>
                <w:lang w:val="en-GB" w:eastAsia="en-GB"/>
              </w:rPr>
              <w:t xml:space="preserve">Volume of </w:t>
            </w:r>
            <w:r>
              <w:rPr>
                <w:rFonts w:ascii="Calibri" w:eastAsia="Times New Roman" w:hAnsi="Calibri" w:cs="Times New Roman"/>
                <w:color w:val="000000"/>
                <w:sz w:val="20"/>
                <w:szCs w:val="20"/>
                <w:lang w:val="en-GB" w:eastAsia="en-GB"/>
              </w:rPr>
              <w:t>short</w:t>
            </w:r>
            <w:r w:rsidRPr="00E07E8D">
              <w:rPr>
                <w:rFonts w:ascii="Calibri" w:eastAsia="Times New Roman" w:hAnsi="Calibri" w:cs="Times New Roman"/>
                <w:color w:val="000000"/>
                <w:sz w:val="20"/>
                <w:szCs w:val="20"/>
                <w:lang w:val="en-GB" w:eastAsia="en-GB"/>
              </w:rPr>
              <w:t>-sea cargo shipped (tons)</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-6.5%</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sz w:val="20"/>
                <w:szCs w:val="20"/>
                <w:lang w:val="en-GB" w:eastAsia="en-GB"/>
              </w:rPr>
              <w:t>-0.7%</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1.3</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Passenger ferry services</w:t>
            </w:r>
          </w:p>
        </w:tc>
        <w:tc>
          <w:tcPr>
            <w:tcW w:w="2518" w:type="dxa"/>
            <w:shd w:val="clear" w:color="auto" w:fill="auto"/>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Passengers (excl. cruise passengers)</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0.4%</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-1.0%</w:t>
            </w:r>
            <w:r>
              <w:rPr>
                <w:rStyle w:val="FootnoteReference"/>
                <w:rFonts w:ascii="Calibri" w:eastAsia="Times New Roman" w:hAnsi="Calibri" w:cs="Times New Roman"/>
                <w:color w:val="000000"/>
                <w:sz w:val="20"/>
                <w:szCs w:val="20"/>
                <w:lang w:val="en-GB" w:eastAsia="en-GB"/>
              </w:rPr>
              <w:footnoteReference w:id="167"/>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1.4</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Inland waterway transport</w:t>
            </w:r>
          </w:p>
        </w:tc>
        <w:tc>
          <w:tcPr>
            <w:tcW w:w="2518" w:type="dxa"/>
            <w:shd w:val="clear" w:color="auto" w:fill="auto"/>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Tonnes transport on inland waterways</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-0.0%</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-2.0%</w:t>
            </w:r>
            <w:r w:rsidRPr="00A7060D">
              <w:rPr>
                <w:rStyle w:val="FootnoteReference"/>
                <w:rFonts w:ascii="Calibri" w:eastAsia="Times New Roman" w:hAnsi="Calibri" w:cs="Times New Roman"/>
                <w:color w:val="000000"/>
                <w:sz w:val="20"/>
                <w:szCs w:val="20"/>
                <w:lang w:val="en-GB" w:eastAsia="en-GB"/>
              </w:rPr>
              <w:footnoteReference w:id="168"/>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EC0540" w:rsidTr="00E34B4A">
        <w:trPr>
          <w:trHeight w:val="20"/>
        </w:trPr>
        <w:tc>
          <w:tcPr>
            <w:tcW w:w="4786" w:type="dxa"/>
            <w:gridSpan w:val="3"/>
            <w:shd w:val="clear" w:color="000000" w:fill="0070C0"/>
          </w:tcPr>
          <w:p w:rsidR="00A472D7" w:rsidRPr="00A7060D" w:rsidRDefault="00A472D7" w:rsidP="00E34B4A">
            <w:pPr>
              <w:keepNext/>
              <w:keepLines/>
              <w:spacing w:before="0"/>
              <w:contextualSpacing/>
              <w:jc w:val="left"/>
              <w:rPr>
                <w:rFonts w:ascii="Calibri" w:eastAsia="Times New Roman" w:hAnsi="Calibri" w:cs="Times New Roman"/>
                <w:b/>
                <w:bCs/>
                <w:color w:val="FFFFFF"/>
                <w:sz w:val="20"/>
                <w:szCs w:val="20"/>
                <w:lang w:val="en-GB" w:eastAsia="en-GB"/>
              </w:rPr>
            </w:pPr>
            <w:r w:rsidRPr="00336AE9">
              <w:rPr>
                <w:rFonts w:ascii="Calibri" w:eastAsia="Times New Roman" w:hAnsi="Calibri" w:cs="Times New Roman"/>
                <w:b/>
                <w:bCs/>
                <w:color w:val="FFFFFF"/>
                <w:sz w:val="20"/>
                <w:szCs w:val="20"/>
                <w:lang w:val="en-GB" w:eastAsia="en-GB"/>
              </w:rPr>
              <w:t>2. Food, nutrition, health and eco-system services</w:t>
            </w:r>
          </w:p>
        </w:tc>
        <w:tc>
          <w:tcPr>
            <w:tcW w:w="5103" w:type="dxa"/>
            <w:gridSpan w:val="3"/>
            <w:shd w:val="clear" w:color="000000" w:fill="0070C0"/>
            <w:vAlign w:val="center"/>
          </w:tcPr>
          <w:p w:rsidR="00A472D7" w:rsidRPr="00A7060D" w:rsidRDefault="00A472D7" w:rsidP="00E34B4A">
            <w:pPr>
              <w:keepNext/>
              <w:keepLines/>
              <w:spacing w:before="0"/>
              <w:contextualSpacing/>
              <w:jc w:val="right"/>
              <w:rPr>
                <w:rFonts w:ascii="Calibri" w:eastAsia="Times New Roman" w:hAnsi="Calibri" w:cs="Times New Roman"/>
                <w:b/>
                <w:bCs/>
                <w:color w:val="FFFFFF"/>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 xml:space="preserve">2.1 </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Catching fish for human consumption</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Volume index of production, Gross data</w:t>
            </w:r>
            <w:r>
              <w:rPr>
                <w:rStyle w:val="FootnoteReference"/>
                <w:rFonts w:ascii="Calibri" w:eastAsia="Times New Roman" w:hAnsi="Calibri" w:cs="Times New Roman"/>
                <w:color w:val="000000"/>
                <w:sz w:val="20"/>
                <w:szCs w:val="20"/>
                <w:lang w:val="en-GB" w:eastAsia="en-GB"/>
              </w:rPr>
              <w:footnoteReference w:id="169"/>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2.3%</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sz w:val="20"/>
                <w:szCs w:val="20"/>
                <w:lang w:val="en-GB" w:eastAsia="en-GB"/>
              </w:rPr>
              <w:t>1.7%</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 xml:space="preserve">2.2 </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Catching fish for animal feeding</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Volume index of production, Gross data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2.3%</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sz w:val="20"/>
                <w:szCs w:val="20"/>
                <w:lang w:val="en-GB" w:eastAsia="en-GB"/>
              </w:rPr>
              <w:t>1.7%</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2.3</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Marine aquatic products</w:t>
            </w:r>
          </w:p>
        </w:tc>
        <w:tc>
          <w:tcPr>
            <w:tcW w:w="2518" w:type="dxa"/>
            <w:shd w:val="clear" w:color="auto" w:fill="auto"/>
          </w:tcPr>
          <w:p w:rsidR="00A472D7" w:rsidRPr="00767974" w:rsidRDefault="00A472D7" w:rsidP="00E34B4A">
            <w:r w:rsidRPr="00740EDC">
              <w:rPr>
                <w:rFonts w:ascii="Calibri" w:eastAsia="Times New Roman" w:hAnsi="Calibri" w:cs="Times New Roman"/>
                <w:color w:val="000000"/>
                <w:sz w:val="20"/>
                <w:szCs w:val="20"/>
                <w:lang w:val="en-GB" w:eastAsia="en-GB"/>
              </w:rPr>
              <w:t>Turnover, Euros</w:t>
            </w:r>
          </w:p>
        </w:tc>
        <w:tc>
          <w:tcPr>
            <w:tcW w:w="992" w:type="dxa"/>
            <w:vAlign w:val="center"/>
          </w:tcPr>
          <w:p w:rsidR="00A472D7" w:rsidRPr="00740EDC" w:rsidRDefault="00A472D7" w:rsidP="00E34B4A">
            <w:pPr>
              <w:keepNext/>
              <w:keepLines/>
              <w:spacing w:before="0"/>
              <w:contextualSpacing/>
              <w:jc w:val="right"/>
              <w:rPr>
                <w:rFonts w:ascii="Calibri" w:eastAsia="Times New Roman" w:hAnsi="Calibri" w:cs="Times New Roman"/>
                <w:sz w:val="20"/>
                <w:szCs w:val="20"/>
                <w:lang w:val="en-GB" w:eastAsia="en-GB"/>
              </w:rPr>
            </w:pPr>
            <w:r w:rsidRPr="00740EDC">
              <w:rPr>
                <w:rFonts w:ascii="Calibri" w:eastAsia="Times New Roman" w:hAnsi="Calibri" w:cs="Times New Roman"/>
                <w:sz w:val="20"/>
                <w:szCs w:val="20"/>
                <w:lang w:val="en-GB" w:eastAsia="en-GB"/>
              </w:rPr>
              <w:t>0.8%</w:t>
            </w:r>
          </w:p>
        </w:tc>
        <w:tc>
          <w:tcPr>
            <w:tcW w:w="993" w:type="dxa"/>
            <w:vAlign w:val="center"/>
          </w:tcPr>
          <w:p w:rsidR="00A472D7" w:rsidRPr="00740EDC" w:rsidRDefault="00A472D7" w:rsidP="00E34B4A">
            <w:pPr>
              <w:keepNext/>
              <w:keepLines/>
              <w:spacing w:before="0"/>
              <w:contextualSpacing/>
              <w:jc w:val="right"/>
              <w:rPr>
                <w:rFonts w:ascii="Calibri" w:eastAsia="Times New Roman" w:hAnsi="Calibri" w:cs="Times New Roman"/>
                <w:sz w:val="20"/>
                <w:szCs w:val="20"/>
                <w:lang w:val="en-GB" w:eastAsia="en-GB"/>
              </w:rPr>
            </w:pPr>
            <w:r w:rsidRPr="00740EDC">
              <w:rPr>
                <w:rFonts w:ascii="Calibri" w:eastAsia="Times New Roman" w:hAnsi="Calibri" w:cs="Times New Roman"/>
                <w:sz w:val="20"/>
                <w:szCs w:val="20"/>
                <w:lang w:val="en-GB" w:eastAsia="en-GB"/>
              </w:rPr>
              <w:t>n/a</w:t>
            </w:r>
          </w:p>
        </w:tc>
        <w:tc>
          <w:tcPr>
            <w:tcW w:w="3118" w:type="dxa"/>
          </w:tcPr>
          <w:p w:rsidR="00A472D7" w:rsidRDefault="00A472D7" w:rsidP="00E34B4A">
            <w:r w:rsidRPr="00740EDC">
              <w:rPr>
                <w:rFonts w:ascii="Calibri" w:eastAsia="Times New Roman" w:hAnsi="Calibri" w:cs="Times New Roman"/>
                <w:color w:val="000000"/>
                <w:sz w:val="20"/>
                <w:szCs w:val="20"/>
                <w:lang w:val="en-GB" w:eastAsia="en-GB"/>
              </w:rPr>
              <w:t>JRC, STECF (2013)</w:t>
            </w: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 xml:space="preserve">2.4 </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Blue biotechnology</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2.5</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Agriculture on saline soils</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4786" w:type="dxa"/>
            <w:gridSpan w:val="3"/>
            <w:shd w:val="clear" w:color="000000" w:fill="0070C0"/>
            <w:vAlign w:val="center"/>
          </w:tcPr>
          <w:p w:rsidR="00A472D7" w:rsidRPr="00A7060D" w:rsidRDefault="00A472D7" w:rsidP="00E34B4A">
            <w:pPr>
              <w:keepNext/>
              <w:keepLines/>
              <w:spacing w:before="0"/>
              <w:jc w:val="left"/>
              <w:rPr>
                <w:rFonts w:ascii="Calibri" w:eastAsia="Times New Roman" w:hAnsi="Calibri" w:cs="Times New Roman"/>
                <w:b/>
                <w:bCs/>
                <w:color w:val="FFFFFF"/>
                <w:sz w:val="20"/>
                <w:szCs w:val="20"/>
                <w:lang w:val="en-GB" w:eastAsia="en-GB"/>
              </w:rPr>
            </w:pPr>
            <w:r w:rsidRPr="00A7060D">
              <w:rPr>
                <w:rFonts w:ascii="Calibri" w:eastAsia="Times New Roman" w:hAnsi="Calibri" w:cs="Times New Roman"/>
                <w:b/>
                <w:bCs/>
                <w:color w:val="FFFFFF"/>
                <w:sz w:val="20"/>
                <w:szCs w:val="20"/>
                <w:lang w:val="en-GB" w:eastAsia="en-GB"/>
              </w:rPr>
              <w:t>3.Energy and raw materials</w:t>
            </w:r>
          </w:p>
        </w:tc>
        <w:tc>
          <w:tcPr>
            <w:tcW w:w="992" w:type="dxa"/>
            <w:shd w:val="clear" w:color="000000" w:fill="0070C0"/>
            <w:vAlign w:val="center"/>
          </w:tcPr>
          <w:p w:rsidR="00A472D7" w:rsidRPr="00A7060D" w:rsidRDefault="00A472D7" w:rsidP="00E34B4A">
            <w:pPr>
              <w:keepNext/>
              <w:keepLines/>
              <w:spacing w:before="0"/>
              <w:contextualSpacing/>
              <w:jc w:val="right"/>
              <w:rPr>
                <w:rFonts w:ascii="Calibri" w:eastAsia="Times New Roman" w:hAnsi="Calibri" w:cs="Times New Roman"/>
                <w:b/>
                <w:bCs/>
                <w:color w:val="FFFFFF"/>
                <w:sz w:val="20"/>
                <w:szCs w:val="20"/>
                <w:lang w:val="en-GB" w:eastAsia="en-GB"/>
              </w:rPr>
            </w:pPr>
          </w:p>
        </w:tc>
        <w:tc>
          <w:tcPr>
            <w:tcW w:w="993" w:type="dxa"/>
            <w:shd w:val="clear" w:color="000000" w:fill="0070C0"/>
            <w:vAlign w:val="center"/>
          </w:tcPr>
          <w:p w:rsidR="00A472D7" w:rsidRPr="00A7060D" w:rsidRDefault="00A472D7" w:rsidP="00E34B4A">
            <w:pPr>
              <w:keepNext/>
              <w:keepLines/>
              <w:spacing w:before="0"/>
              <w:contextualSpacing/>
              <w:jc w:val="right"/>
              <w:rPr>
                <w:rFonts w:ascii="Calibri" w:eastAsia="Times New Roman" w:hAnsi="Calibri" w:cs="Times New Roman"/>
                <w:b/>
                <w:bCs/>
                <w:color w:val="FFFFFF"/>
                <w:sz w:val="20"/>
                <w:szCs w:val="20"/>
                <w:lang w:val="en-GB" w:eastAsia="en-GB"/>
              </w:rPr>
            </w:pPr>
          </w:p>
        </w:tc>
        <w:tc>
          <w:tcPr>
            <w:tcW w:w="3118" w:type="dxa"/>
            <w:shd w:val="clear" w:color="000000" w:fill="0070C0"/>
          </w:tcPr>
          <w:p w:rsidR="00A472D7" w:rsidRPr="00A7060D" w:rsidRDefault="00A472D7" w:rsidP="00E34B4A">
            <w:pPr>
              <w:keepNext/>
              <w:keepLines/>
              <w:spacing w:before="0"/>
              <w:contextualSpacing/>
              <w:jc w:val="left"/>
              <w:rPr>
                <w:rFonts w:ascii="Calibri" w:eastAsia="Times New Roman" w:hAnsi="Calibri" w:cs="Times New Roman"/>
                <w:b/>
                <w:bCs/>
                <w:color w:val="FFFFFF"/>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3.1</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Offshore oil and gas</w:t>
            </w:r>
          </w:p>
        </w:tc>
        <w:tc>
          <w:tcPr>
            <w:tcW w:w="2518" w:type="dxa"/>
            <w:shd w:val="clear" w:color="auto" w:fill="auto"/>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424383">
              <w:rPr>
                <w:rFonts w:ascii="Calibri" w:eastAsia="Times New Roman" w:hAnsi="Calibri" w:cs="Times New Roman"/>
                <w:color w:val="000000"/>
                <w:sz w:val="20"/>
                <w:szCs w:val="20"/>
                <w:lang w:val="en-GB" w:eastAsia="en-GB"/>
              </w:rPr>
              <w:t xml:space="preserve">primary production of oil and gas in TOE </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-10.6%</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-6.4%</w:t>
            </w:r>
            <w:r w:rsidRPr="00A7060D">
              <w:rPr>
                <w:rStyle w:val="FootnoteReference"/>
                <w:rFonts w:ascii="Calibri" w:eastAsia="Times New Roman" w:hAnsi="Calibri" w:cs="Times New Roman"/>
                <w:color w:val="000000"/>
                <w:sz w:val="20"/>
                <w:szCs w:val="20"/>
                <w:lang w:val="en-GB" w:eastAsia="en-GB"/>
              </w:rPr>
              <w:footnoteReference w:id="170"/>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3.2</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Offshore wind</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3.3</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Ocean renewable energy</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lastRenderedPageBreak/>
              <w:t>3.4</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Carbon capture and storage</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3.5</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Aggreg</w:t>
            </w:r>
            <w:r>
              <w:rPr>
                <w:rFonts w:ascii="Calibri" w:eastAsia="Times New Roman" w:hAnsi="Calibri" w:cs="Times New Roman"/>
                <w:color w:val="000000"/>
                <w:sz w:val="20"/>
                <w:szCs w:val="20"/>
                <w:lang w:val="en-GB" w:eastAsia="en-GB"/>
              </w:rPr>
              <w:t>ates mining</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Marine aggregates, tonnes</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7.4%</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UEPG</w:t>
            </w: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3.6</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Marine minerals mining</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3.7</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Securing fresh water supply (desalination)</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4786" w:type="dxa"/>
            <w:gridSpan w:val="3"/>
            <w:shd w:val="clear" w:color="000000" w:fill="0070C0"/>
            <w:vAlign w:val="center"/>
          </w:tcPr>
          <w:p w:rsidR="00A472D7" w:rsidRPr="00A7060D" w:rsidRDefault="00A472D7" w:rsidP="00E34B4A">
            <w:pPr>
              <w:keepNext/>
              <w:keepLines/>
              <w:spacing w:before="0"/>
              <w:jc w:val="left"/>
              <w:rPr>
                <w:rFonts w:ascii="Calibri" w:eastAsia="Times New Roman" w:hAnsi="Calibri" w:cs="Times New Roman"/>
                <w:b/>
                <w:bCs/>
                <w:color w:val="FFFFFF"/>
                <w:sz w:val="20"/>
                <w:szCs w:val="20"/>
                <w:lang w:val="en-GB" w:eastAsia="en-GB"/>
              </w:rPr>
            </w:pPr>
            <w:r w:rsidRPr="00A7060D">
              <w:rPr>
                <w:rFonts w:ascii="Calibri" w:eastAsia="Times New Roman" w:hAnsi="Calibri" w:cs="Times New Roman"/>
                <w:b/>
                <w:bCs/>
                <w:color w:val="FFFFFF"/>
                <w:sz w:val="20"/>
                <w:szCs w:val="20"/>
                <w:lang w:val="en-GB" w:eastAsia="en-GB"/>
              </w:rPr>
              <w:t>4.Leisure, working and living</w:t>
            </w:r>
          </w:p>
        </w:tc>
        <w:tc>
          <w:tcPr>
            <w:tcW w:w="992" w:type="dxa"/>
            <w:shd w:val="clear" w:color="000000" w:fill="0070C0"/>
            <w:vAlign w:val="center"/>
          </w:tcPr>
          <w:p w:rsidR="00A472D7" w:rsidRPr="00A7060D" w:rsidRDefault="00A472D7" w:rsidP="00E34B4A">
            <w:pPr>
              <w:keepNext/>
              <w:keepLines/>
              <w:spacing w:before="0"/>
              <w:contextualSpacing/>
              <w:jc w:val="right"/>
              <w:rPr>
                <w:rFonts w:ascii="Calibri" w:eastAsia="Times New Roman" w:hAnsi="Calibri" w:cs="Times New Roman"/>
                <w:b/>
                <w:bCs/>
                <w:color w:val="FFFFFF"/>
                <w:sz w:val="20"/>
                <w:szCs w:val="20"/>
                <w:lang w:val="en-GB" w:eastAsia="en-GB"/>
              </w:rPr>
            </w:pPr>
          </w:p>
        </w:tc>
        <w:tc>
          <w:tcPr>
            <w:tcW w:w="993" w:type="dxa"/>
            <w:shd w:val="clear" w:color="000000" w:fill="0070C0"/>
            <w:vAlign w:val="center"/>
          </w:tcPr>
          <w:p w:rsidR="00A472D7" w:rsidRPr="00A7060D" w:rsidRDefault="00A472D7" w:rsidP="00E34B4A">
            <w:pPr>
              <w:keepNext/>
              <w:keepLines/>
              <w:spacing w:before="0"/>
              <w:contextualSpacing/>
              <w:jc w:val="right"/>
              <w:rPr>
                <w:rFonts w:ascii="Calibri" w:eastAsia="Times New Roman" w:hAnsi="Calibri" w:cs="Times New Roman"/>
                <w:b/>
                <w:bCs/>
                <w:color w:val="FFFFFF"/>
                <w:sz w:val="20"/>
                <w:szCs w:val="20"/>
                <w:lang w:val="en-GB" w:eastAsia="en-GB"/>
              </w:rPr>
            </w:pPr>
          </w:p>
        </w:tc>
        <w:tc>
          <w:tcPr>
            <w:tcW w:w="3118" w:type="dxa"/>
            <w:shd w:val="clear" w:color="000000" w:fill="0070C0"/>
            <w:vAlign w:val="center"/>
          </w:tcPr>
          <w:p w:rsidR="00A472D7" w:rsidRPr="00A7060D" w:rsidRDefault="00A472D7" w:rsidP="00E34B4A">
            <w:pPr>
              <w:keepNext/>
              <w:keepLines/>
              <w:spacing w:before="0"/>
              <w:contextualSpacing/>
              <w:jc w:val="left"/>
              <w:rPr>
                <w:rFonts w:ascii="Calibri" w:eastAsia="Times New Roman" w:hAnsi="Calibri" w:cs="Times New Roman"/>
                <w:b/>
                <w:bCs/>
                <w:color w:val="FFFFFF"/>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 xml:space="preserve">4.1 </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Coastal tourism</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Index turnover, Gross data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0.2%</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2.8%</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4.2</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Yachting and marinas</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4.3</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Cruise tourism</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C</w:t>
            </w:r>
            <w:r w:rsidRPr="005258CF">
              <w:rPr>
                <w:rFonts w:ascii="Calibri" w:eastAsia="Times New Roman" w:hAnsi="Calibri" w:cs="Times New Roman"/>
                <w:color w:val="000000"/>
                <w:sz w:val="20"/>
                <w:szCs w:val="20"/>
                <w:lang w:val="en-GB" w:eastAsia="en-GB"/>
              </w:rPr>
              <w:t>ruise passengers starting and ending a cruise</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25.1%</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Pr>
                <w:rFonts w:ascii="Calibri" w:eastAsia="Times New Roman" w:hAnsi="Calibri" w:cs="Times New Roman"/>
                <w:sz w:val="20"/>
                <w:szCs w:val="20"/>
                <w:lang w:val="en-GB" w:eastAsia="en-GB"/>
              </w:rPr>
              <w:t>10.9%</w:t>
            </w:r>
            <w:r w:rsidRPr="00A7060D">
              <w:rPr>
                <w:rStyle w:val="FootnoteReference"/>
                <w:rFonts w:ascii="Calibri" w:eastAsia="Times New Roman" w:hAnsi="Calibri" w:cs="Times New Roman"/>
                <w:color w:val="000000"/>
                <w:sz w:val="20"/>
                <w:szCs w:val="20"/>
                <w:lang w:val="en-GB" w:eastAsia="en-GB"/>
              </w:rPr>
              <w:footnoteReference w:id="171"/>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Eurostat</w:t>
            </w:r>
          </w:p>
        </w:tc>
      </w:tr>
      <w:tr w:rsidR="00A472D7" w:rsidRPr="00A7060D" w:rsidTr="00E34B4A">
        <w:trPr>
          <w:trHeight w:val="20"/>
        </w:trPr>
        <w:tc>
          <w:tcPr>
            <w:tcW w:w="4786" w:type="dxa"/>
            <w:gridSpan w:val="3"/>
            <w:shd w:val="clear" w:color="000000" w:fill="0070C0"/>
            <w:vAlign w:val="center"/>
            <w:hideMark/>
          </w:tcPr>
          <w:p w:rsidR="00A472D7" w:rsidRPr="00A7060D" w:rsidRDefault="00A472D7" w:rsidP="00E34B4A">
            <w:pPr>
              <w:keepNext/>
              <w:keepLines/>
              <w:spacing w:before="0"/>
              <w:contextualSpacing/>
              <w:jc w:val="left"/>
              <w:rPr>
                <w:rFonts w:ascii="Calibri" w:eastAsia="Times New Roman" w:hAnsi="Calibri" w:cs="Times New Roman"/>
                <w:b/>
                <w:bCs/>
                <w:color w:val="FFFFFF"/>
                <w:sz w:val="20"/>
                <w:szCs w:val="20"/>
                <w:lang w:val="en-GB" w:eastAsia="en-GB"/>
              </w:rPr>
            </w:pPr>
            <w:r w:rsidRPr="00A7060D">
              <w:rPr>
                <w:rFonts w:ascii="Calibri" w:eastAsia="Times New Roman" w:hAnsi="Calibri" w:cs="Times New Roman"/>
                <w:b/>
                <w:bCs/>
                <w:color w:val="FFFFFF"/>
                <w:sz w:val="20"/>
                <w:szCs w:val="20"/>
                <w:lang w:val="en-GB" w:eastAsia="en-GB"/>
              </w:rPr>
              <w:t>5. Coastal protection</w:t>
            </w:r>
          </w:p>
        </w:tc>
        <w:tc>
          <w:tcPr>
            <w:tcW w:w="992" w:type="dxa"/>
            <w:shd w:val="clear" w:color="000000" w:fill="0070C0"/>
            <w:vAlign w:val="center"/>
          </w:tcPr>
          <w:p w:rsidR="00A472D7" w:rsidRPr="00A7060D" w:rsidRDefault="00A472D7" w:rsidP="00E34B4A">
            <w:pPr>
              <w:keepNext/>
              <w:keepLines/>
              <w:spacing w:before="0"/>
              <w:contextualSpacing/>
              <w:jc w:val="right"/>
              <w:rPr>
                <w:rFonts w:ascii="Calibri" w:eastAsia="Times New Roman" w:hAnsi="Calibri" w:cs="Times New Roman"/>
                <w:b/>
                <w:bCs/>
                <w:color w:val="FFFFFF"/>
                <w:sz w:val="20"/>
                <w:szCs w:val="20"/>
                <w:lang w:val="en-GB" w:eastAsia="en-GB"/>
              </w:rPr>
            </w:pPr>
          </w:p>
        </w:tc>
        <w:tc>
          <w:tcPr>
            <w:tcW w:w="993" w:type="dxa"/>
            <w:shd w:val="clear" w:color="000000" w:fill="0070C0"/>
            <w:vAlign w:val="center"/>
          </w:tcPr>
          <w:p w:rsidR="00A472D7" w:rsidRPr="00A7060D" w:rsidRDefault="00A472D7" w:rsidP="00E34B4A">
            <w:pPr>
              <w:keepNext/>
              <w:keepLines/>
              <w:spacing w:before="0"/>
              <w:contextualSpacing/>
              <w:jc w:val="right"/>
              <w:rPr>
                <w:rFonts w:ascii="Calibri" w:eastAsia="Times New Roman" w:hAnsi="Calibri" w:cs="Times New Roman"/>
                <w:b/>
                <w:bCs/>
                <w:color w:val="FFFFFF"/>
                <w:sz w:val="20"/>
                <w:szCs w:val="20"/>
                <w:lang w:val="en-GB" w:eastAsia="en-GB"/>
              </w:rPr>
            </w:pPr>
          </w:p>
        </w:tc>
        <w:tc>
          <w:tcPr>
            <w:tcW w:w="3118" w:type="dxa"/>
            <w:shd w:val="clear" w:color="000000" w:fill="0070C0"/>
          </w:tcPr>
          <w:p w:rsidR="00A472D7" w:rsidRPr="00A7060D" w:rsidRDefault="00A472D7" w:rsidP="00E34B4A">
            <w:pPr>
              <w:keepNext/>
              <w:keepLines/>
              <w:spacing w:before="0"/>
              <w:contextualSpacing/>
              <w:jc w:val="left"/>
              <w:rPr>
                <w:rFonts w:ascii="Calibri" w:eastAsia="Times New Roman" w:hAnsi="Calibri" w:cs="Times New Roman"/>
                <w:b/>
                <w:bCs/>
                <w:color w:val="FFFFFF"/>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5.1</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Coastal protection</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4786" w:type="dxa"/>
            <w:gridSpan w:val="3"/>
            <w:shd w:val="clear" w:color="000000" w:fill="0070C0"/>
          </w:tcPr>
          <w:p w:rsidR="00A472D7" w:rsidRPr="00A7060D" w:rsidRDefault="00A472D7" w:rsidP="00E34B4A">
            <w:pPr>
              <w:keepNext/>
              <w:keepLines/>
              <w:spacing w:before="0"/>
              <w:contextualSpacing/>
              <w:jc w:val="left"/>
              <w:rPr>
                <w:rFonts w:ascii="Calibri" w:eastAsia="Times New Roman" w:hAnsi="Calibri" w:cs="Times New Roman"/>
                <w:b/>
                <w:bCs/>
                <w:color w:val="FFFFFF"/>
                <w:sz w:val="20"/>
                <w:szCs w:val="20"/>
                <w:lang w:val="en-GB" w:eastAsia="en-GB"/>
              </w:rPr>
            </w:pPr>
            <w:r w:rsidRPr="00336AE9">
              <w:rPr>
                <w:rFonts w:ascii="Calibri" w:eastAsia="Times New Roman" w:hAnsi="Calibri" w:cs="Times New Roman"/>
                <w:b/>
                <w:bCs/>
                <w:color w:val="FFFFFF"/>
                <w:sz w:val="20"/>
                <w:szCs w:val="20"/>
                <w:lang w:val="en-GB" w:eastAsia="en-GB"/>
              </w:rPr>
              <w:t>6. Maritime monitoring and surveillance</w:t>
            </w:r>
          </w:p>
        </w:tc>
        <w:tc>
          <w:tcPr>
            <w:tcW w:w="1985" w:type="dxa"/>
            <w:gridSpan w:val="2"/>
            <w:shd w:val="clear" w:color="000000" w:fill="0070C0"/>
            <w:vAlign w:val="center"/>
          </w:tcPr>
          <w:p w:rsidR="00A472D7" w:rsidRPr="00A7060D" w:rsidRDefault="00A472D7" w:rsidP="00E34B4A">
            <w:pPr>
              <w:keepNext/>
              <w:keepLines/>
              <w:spacing w:before="0"/>
              <w:contextualSpacing/>
              <w:jc w:val="right"/>
              <w:rPr>
                <w:rFonts w:ascii="Calibri" w:eastAsia="Times New Roman" w:hAnsi="Calibri" w:cs="Times New Roman"/>
                <w:b/>
                <w:bCs/>
                <w:color w:val="FFFFFF"/>
                <w:sz w:val="20"/>
                <w:szCs w:val="20"/>
                <w:lang w:val="en-GB" w:eastAsia="en-GB"/>
              </w:rPr>
            </w:pPr>
          </w:p>
        </w:tc>
        <w:tc>
          <w:tcPr>
            <w:tcW w:w="3118" w:type="dxa"/>
            <w:shd w:val="clear" w:color="000000" w:fill="0070C0"/>
          </w:tcPr>
          <w:p w:rsidR="00A472D7" w:rsidRPr="00A7060D" w:rsidRDefault="00A472D7" w:rsidP="00E34B4A">
            <w:pPr>
              <w:keepNext/>
              <w:keepLines/>
              <w:spacing w:before="0"/>
              <w:contextualSpacing/>
              <w:jc w:val="left"/>
              <w:rPr>
                <w:rFonts w:ascii="Calibri" w:eastAsia="Times New Roman" w:hAnsi="Calibri" w:cs="Times New Roman"/>
                <w:b/>
                <w:bCs/>
                <w:color w:val="FFFFFF"/>
                <w:sz w:val="20"/>
                <w:szCs w:val="20"/>
                <w:lang w:val="en-GB" w:eastAsia="en-GB"/>
              </w:rPr>
            </w:pPr>
          </w:p>
        </w:tc>
      </w:tr>
      <w:tr w:rsidR="00A472D7" w:rsidRPr="00A7060D" w:rsidTr="00E34B4A">
        <w:trPr>
          <w:trHeight w:val="20"/>
        </w:trPr>
        <w:tc>
          <w:tcPr>
            <w:tcW w:w="567" w:type="dxa"/>
            <w:shd w:val="clear" w:color="auto" w:fill="auto"/>
            <w:vAlign w:val="center"/>
            <w:hideMark/>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6.1/6.2</w:t>
            </w:r>
          </w:p>
        </w:tc>
        <w:tc>
          <w:tcPr>
            <w:tcW w:w="1701" w:type="dxa"/>
            <w:shd w:val="clear" w:color="auto" w:fill="auto"/>
            <w:vAlign w:val="center"/>
            <w:hideMark/>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Surveillance</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r w:rsidR="00A472D7" w:rsidRPr="00A7060D" w:rsidTr="00E34B4A">
        <w:trPr>
          <w:trHeight w:val="20"/>
        </w:trPr>
        <w:tc>
          <w:tcPr>
            <w:tcW w:w="567" w:type="dxa"/>
            <w:shd w:val="clear" w:color="auto" w:fill="auto"/>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color w:val="000000"/>
                <w:sz w:val="20"/>
                <w:szCs w:val="20"/>
                <w:lang w:val="en-GB" w:eastAsia="en-GB"/>
              </w:rPr>
              <w:t>6.3</w:t>
            </w:r>
          </w:p>
        </w:tc>
        <w:tc>
          <w:tcPr>
            <w:tcW w:w="1701"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E</w:t>
            </w:r>
            <w:r w:rsidRPr="00A7060D">
              <w:rPr>
                <w:rFonts w:ascii="Calibri" w:eastAsia="Times New Roman" w:hAnsi="Calibri" w:cs="Times New Roman"/>
                <w:color w:val="000000"/>
                <w:sz w:val="20"/>
                <w:szCs w:val="20"/>
                <w:lang w:val="en-GB" w:eastAsia="en-GB"/>
              </w:rPr>
              <w:t>nvironmental monitoring</w:t>
            </w:r>
          </w:p>
        </w:tc>
        <w:tc>
          <w:tcPr>
            <w:tcW w:w="2518" w:type="dxa"/>
            <w:shd w:val="clear" w:color="auto" w:fill="auto"/>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992" w:type="dxa"/>
            <w:vAlign w:val="center"/>
          </w:tcPr>
          <w:p w:rsidR="00A472D7" w:rsidRPr="00A7060D" w:rsidRDefault="00A472D7" w:rsidP="00E34B4A">
            <w:pPr>
              <w:keepNext/>
              <w:keepLines/>
              <w:spacing w:before="0"/>
              <w:contextualSpacing/>
              <w:jc w:val="right"/>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n/a</w:t>
            </w:r>
          </w:p>
        </w:tc>
        <w:tc>
          <w:tcPr>
            <w:tcW w:w="993" w:type="dxa"/>
            <w:vAlign w:val="center"/>
          </w:tcPr>
          <w:p w:rsidR="00A472D7" w:rsidRPr="00A7060D" w:rsidRDefault="00A472D7" w:rsidP="00E34B4A">
            <w:pPr>
              <w:keepNext/>
              <w:keepLines/>
              <w:spacing w:before="0"/>
              <w:contextualSpacing/>
              <w:jc w:val="right"/>
              <w:rPr>
                <w:rFonts w:ascii="Calibri" w:eastAsia="Times New Roman" w:hAnsi="Calibri" w:cs="Times New Roman"/>
                <w:color w:val="000000"/>
                <w:sz w:val="20"/>
                <w:szCs w:val="20"/>
                <w:lang w:val="en-GB" w:eastAsia="en-GB"/>
              </w:rPr>
            </w:pPr>
            <w:r w:rsidRPr="00A7060D">
              <w:rPr>
                <w:rFonts w:ascii="Calibri" w:eastAsia="Times New Roman" w:hAnsi="Calibri" w:cs="Times New Roman"/>
                <w:sz w:val="20"/>
                <w:szCs w:val="20"/>
                <w:lang w:val="en-GB" w:eastAsia="en-GB"/>
              </w:rPr>
              <w:t>n/a</w:t>
            </w:r>
          </w:p>
        </w:tc>
        <w:tc>
          <w:tcPr>
            <w:tcW w:w="3118" w:type="dxa"/>
            <w:vAlign w:val="center"/>
          </w:tcPr>
          <w:p w:rsidR="00A472D7" w:rsidRPr="00A7060D" w:rsidRDefault="00A472D7" w:rsidP="00E34B4A">
            <w:pPr>
              <w:keepNext/>
              <w:keepLines/>
              <w:spacing w:before="0"/>
              <w:contextualSpacing/>
              <w:jc w:val="left"/>
              <w:rPr>
                <w:rFonts w:ascii="Calibri" w:eastAsia="Times New Roman" w:hAnsi="Calibri" w:cs="Times New Roman"/>
                <w:color w:val="000000"/>
                <w:sz w:val="20"/>
                <w:szCs w:val="20"/>
                <w:lang w:val="en-GB" w:eastAsia="en-GB"/>
              </w:rPr>
            </w:pPr>
          </w:p>
        </w:tc>
      </w:tr>
    </w:tbl>
    <w:p w:rsidR="00A472D7" w:rsidRDefault="00A472D7" w:rsidP="00A472D7">
      <w:pPr>
        <w:rPr>
          <w:lang w:val="en-GB"/>
        </w:rPr>
      </w:pPr>
    </w:p>
    <w:p w:rsidR="0007453F" w:rsidRDefault="0007453F" w:rsidP="0007453F">
      <w:pPr>
        <w:rPr>
          <w:lang w:val="en-GB"/>
        </w:rPr>
        <w:sectPr w:rsidR="0007453F" w:rsidSect="000138C7">
          <w:pgSz w:w="11906" w:h="16838"/>
          <w:pgMar w:top="1387" w:right="1134" w:bottom="1134" w:left="1134" w:header="284" w:footer="93" w:gutter="0"/>
          <w:cols w:space="708"/>
          <w:docGrid w:linePitch="360"/>
        </w:sectPr>
      </w:pPr>
    </w:p>
    <w:p w:rsidR="0007453F" w:rsidRPr="00CF1A23" w:rsidRDefault="0007453F" w:rsidP="007127CC">
      <w:pPr>
        <w:rPr>
          <w:lang w:val="en-GB"/>
        </w:rPr>
      </w:pPr>
    </w:p>
    <w:sectPr w:rsidR="0007453F" w:rsidRPr="00CF1A23" w:rsidSect="008744D6">
      <w:pgSz w:w="11906" w:h="16838"/>
      <w:pgMar w:top="1387" w:right="1134" w:bottom="1134" w:left="1134"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3D" w:rsidRDefault="00F7433D" w:rsidP="00864EAB">
      <w:pPr>
        <w:spacing w:before="0"/>
      </w:pPr>
      <w:r>
        <w:separator/>
      </w:r>
    </w:p>
  </w:endnote>
  <w:endnote w:type="continuationSeparator" w:id="0">
    <w:p w:rsidR="00F7433D" w:rsidRDefault="00F7433D" w:rsidP="00864E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3D" w:rsidRDefault="00F7433D">
    <w:pPr>
      <w:pStyle w:val="Footer"/>
      <w:jc w:val="right"/>
    </w:pPr>
    <w:r>
      <w:fldChar w:fldCharType="begin"/>
    </w:r>
    <w:r>
      <w:instrText xml:space="preserve"> PAGE   \* MERGEFORMAT </w:instrText>
    </w:r>
    <w:r>
      <w:fldChar w:fldCharType="separate"/>
    </w:r>
    <w:r w:rsidR="007C1627">
      <w:rPr>
        <w:noProof/>
      </w:rPr>
      <w:t>1</w:t>
    </w:r>
    <w:r>
      <w:rPr>
        <w:noProof/>
      </w:rPr>
      <w:fldChar w:fldCharType="end"/>
    </w:r>
  </w:p>
  <w:p w:rsidR="00F7433D" w:rsidRDefault="00F7433D" w:rsidP="00864EAB">
    <w:pPr>
      <w:pStyle w:val="Footer"/>
      <w:tabs>
        <w:tab w:val="left" w:pos="3533"/>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434916"/>
      <w:docPartObj>
        <w:docPartGallery w:val="Page Numbers (Bottom of Page)"/>
        <w:docPartUnique/>
      </w:docPartObj>
    </w:sdtPr>
    <w:sdtEndPr/>
    <w:sdtContent>
      <w:p w:rsidR="00F7433D" w:rsidRDefault="007C1627">
        <w:pPr>
          <w:pStyle w:val="Footer"/>
          <w:jc w:val="right"/>
        </w:pPr>
      </w:p>
    </w:sdtContent>
  </w:sdt>
  <w:p w:rsidR="00F7433D" w:rsidRDefault="00F74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24159"/>
      <w:docPartObj>
        <w:docPartGallery w:val="Page Numbers (Bottom of Page)"/>
        <w:docPartUnique/>
      </w:docPartObj>
    </w:sdtPr>
    <w:sdtEndPr/>
    <w:sdtContent>
      <w:p w:rsidR="00F7433D" w:rsidRPr="00280A51" w:rsidRDefault="00F7433D" w:rsidP="007D2D8B">
        <w:pPr>
          <w:pStyle w:val="Footer"/>
          <w:ind w:left="-284" w:firstLine="3824"/>
          <w:jc w:val="left"/>
          <w:rPr>
            <w:lang w:val="en-GB"/>
          </w:rPr>
        </w:pPr>
        <w:r w:rsidRPr="00280A51">
          <w:rPr>
            <w:b/>
            <w:color w:val="1F497D" w:themeColor="text2"/>
            <w:sz w:val="20"/>
            <w:szCs w:val="20"/>
            <w:lang w:val="en-GB"/>
          </w:rPr>
          <w:t xml:space="preserve">Country </w:t>
        </w:r>
        <w:r w:rsidR="00B34341">
          <w:rPr>
            <w:b/>
            <w:color w:val="1F497D" w:themeColor="text2"/>
            <w:sz w:val="20"/>
            <w:szCs w:val="20"/>
            <w:lang w:val="en-GB"/>
          </w:rPr>
          <w:t>paper</w:t>
        </w:r>
        <w:r w:rsidRPr="00280A51">
          <w:rPr>
            <w:b/>
            <w:color w:val="1F497D" w:themeColor="text2"/>
            <w:sz w:val="20"/>
            <w:szCs w:val="20"/>
            <w:lang w:val="en-GB"/>
          </w:rPr>
          <w:t xml:space="preserve"> – F</w:t>
        </w:r>
        <w:r>
          <w:rPr>
            <w:b/>
            <w:color w:val="1F497D" w:themeColor="text2"/>
            <w:sz w:val="20"/>
            <w:szCs w:val="20"/>
            <w:lang w:val="en-GB"/>
          </w:rPr>
          <w:t>RANCE</w:t>
        </w:r>
        <w:r w:rsidRPr="00280A51">
          <w:rPr>
            <w:b/>
            <w:color w:val="1F497D" w:themeColor="text2"/>
            <w:sz w:val="20"/>
            <w:szCs w:val="20"/>
            <w:lang w:val="en-GB"/>
          </w:rPr>
          <w:t xml:space="preserve"> – </w:t>
        </w:r>
        <w:r>
          <w:rPr>
            <w:b/>
            <w:color w:val="1F497D" w:themeColor="text2"/>
            <w:sz w:val="20"/>
            <w:szCs w:val="20"/>
            <w:lang w:val="en-GB"/>
          </w:rPr>
          <w:t>1</w:t>
        </w:r>
        <w:r w:rsidR="00B34341">
          <w:rPr>
            <w:b/>
            <w:color w:val="1F497D" w:themeColor="text2"/>
            <w:sz w:val="20"/>
            <w:szCs w:val="20"/>
            <w:lang w:val="en-GB"/>
          </w:rPr>
          <w:t>8</w:t>
        </w:r>
        <w:r w:rsidR="00B34341" w:rsidRPr="007C2E30">
          <w:rPr>
            <w:b/>
            <w:color w:val="1F497D" w:themeColor="text2"/>
            <w:sz w:val="20"/>
            <w:szCs w:val="20"/>
            <w:vertAlign w:val="superscript"/>
            <w:lang w:val="en-GB"/>
          </w:rPr>
          <w:t>th</w:t>
        </w:r>
        <w:r w:rsidR="00B34341">
          <w:rPr>
            <w:b/>
            <w:color w:val="1F497D" w:themeColor="text2"/>
            <w:sz w:val="20"/>
            <w:szCs w:val="20"/>
            <w:lang w:val="en-GB"/>
          </w:rPr>
          <w:t xml:space="preserve"> October</w:t>
        </w:r>
        <w:r>
          <w:rPr>
            <w:b/>
            <w:color w:val="1F497D" w:themeColor="text2"/>
            <w:sz w:val="20"/>
            <w:szCs w:val="20"/>
            <w:lang w:val="en-GB"/>
          </w:rPr>
          <w:t xml:space="preserve"> 13</w:t>
        </w:r>
        <w:r w:rsidRPr="00280A51">
          <w:rPr>
            <w:lang w:val="en-GB"/>
          </w:rPr>
          <w:tab/>
        </w:r>
        <w:r>
          <w:fldChar w:fldCharType="begin"/>
        </w:r>
        <w:r w:rsidRPr="00280A51">
          <w:rPr>
            <w:lang w:val="en-GB"/>
          </w:rPr>
          <w:instrText xml:space="preserve"> PAGE   \* MERGEFORMAT </w:instrText>
        </w:r>
        <w:r>
          <w:fldChar w:fldCharType="separate"/>
        </w:r>
        <w:r w:rsidR="007C1627">
          <w:rPr>
            <w:noProof/>
            <w:lang w:val="en-GB"/>
          </w:rPr>
          <w:t>54</w:t>
        </w:r>
        <w:r>
          <w:rPr>
            <w:noProof/>
          </w:rPr>
          <w:fldChar w:fldCharType="end"/>
        </w:r>
      </w:p>
    </w:sdtContent>
  </w:sdt>
  <w:p w:rsidR="00F7433D" w:rsidRPr="00280A51" w:rsidRDefault="00F7433D" w:rsidP="007D2D8B">
    <w:pPr>
      <w:pStyle w:val="Footer"/>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3D" w:rsidRDefault="00F7433D" w:rsidP="00864EAB">
      <w:pPr>
        <w:spacing w:before="0"/>
      </w:pPr>
      <w:r>
        <w:separator/>
      </w:r>
    </w:p>
  </w:footnote>
  <w:footnote w:type="continuationSeparator" w:id="0">
    <w:p w:rsidR="00F7433D" w:rsidRDefault="00F7433D" w:rsidP="00864EAB">
      <w:pPr>
        <w:spacing w:before="0"/>
      </w:pPr>
      <w:r>
        <w:continuationSeparator/>
      </w:r>
    </w:p>
  </w:footnote>
  <w:footnote w:id="1">
    <w:p w:rsidR="00F7433D" w:rsidRPr="00EC0540" w:rsidRDefault="00F7433D" w:rsidP="00E47358">
      <w:pPr>
        <w:rPr>
          <w:sz w:val="18"/>
          <w:szCs w:val="18"/>
          <w:lang w:val="en-GB"/>
        </w:rPr>
      </w:pPr>
      <w:r w:rsidRPr="00E47358">
        <w:rPr>
          <w:rStyle w:val="FootnoteReference"/>
          <w:sz w:val="18"/>
          <w:szCs w:val="18"/>
        </w:rPr>
        <w:footnoteRef/>
      </w:r>
      <w:r w:rsidRPr="00E47358">
        <w:rPr>
          <w:sz w:val="18"/>
          <w:szCs w:val="18"/>
          <w:lang w:val="en-GB"/>
        </w:rPr>
        <w:t xml:space="preserve"> Coastline length and people living in coastal regions source:</w:t>
      </w:r>
      <w:r w:rsidRPr="00EC0540">
        <w:rPr>
          <w:sz w:val="18"/>
          <w:szCs w:val="18"/>
          <w:lang w:val="en-GB"/>
        </w:rPr>
        <w:t xml:space="preserve"> </w:t>
      </w:r>
      <w:r w:rsidRPr="00E47358">
        <w:rPr>
          <w:sz w:val="18"/>
          <w:szCs w:val="18"/>
          <w:lang w:val="en-GB"/>
        </w:rPr>
        <w:t xml:space="preserve">European Commission, DG Fisheries and Maritime Affairs, ‘Studies aiming at improving national maritime and coastal statistics’, Sogeti, Eurostat, 2008: Description of the coastal and sea areas in the European Union. </w:t>
      </w:r>
      <w:r w:rsidRPr="00EC0540">
        <w:rPr>
          <w:sz w:val="18"/>
          <w:szCs w:val="18"/>
          <w:lang w:val="en-GB"/>
        </w:rPr>
        <w:t>Chapter 2. P. 98. In this study, the coastline length (km) is calculated from the Corine land cover database. Figures may vary from national statistics owing to the inclusion or exclusion of coastal features, such as estuaries, islands and spits. Sogeti study available here: https://webgate.ec.europa.eu/maritimeforum/content/498</w:t>
      </w:r>
    </w:p>
  </w:footnote>
  <w:footnote w:id="2">
    <w:p w:rsidR="00F7433D" w:rsidRPr="008744D6" w:rsidRDefault="00F7433D">
      <w:pPr>
        <w:pStyle w:val="FootnoteText"/>
        <w:rPr>
          <w:lang w:val="en-GB"/>
        </w:rPr>
      </w:pPr>
      <w:r w:rsidRPr="00EC0540">
        <w:rPr>
          <w:sz w:val="18"/>
          <w:szCs w:val="18"/>
          <w:lang w:val="en-GB"/>
        </w:rPr>
        <w:t xml:space="preserve"> </w:t>
      </w:r>
      <w:r w:rsidRPr="008744D6">
        <w:rPr>
          <w:rStyle w:val="FootnoteReference"/>
          <w:sz w:val="18"/>
          <w:szCs w:val="18"/>
        </w:rPr>
        <w:footnoteRef/>
      </w:r>
      <w:r w:rsidRPr="008744D6">
        <w:rPr>
          <w:sz w:val="18"/>
          <w:szCs w:val="18"/>
        </w:rPr>
        <w:t xml:space="preserve"> </w:t>
      </w:r>
      <w:r w:rsidRPr="008744D6">
        <w:rPr>
          <w:sz w:val="18"/>
          <w:szCs w:val="18"/>
          <w:lang w:val="fr-BE"/>
        </w:rPr>
        <w:t xml:space="preserve">Le Cluster Maritime Français, 2009-2010, French Maritime Industries, p. 2. </w:t>
      </w:r>
      <w:r w:rsidRPr="008744D6">
        <w:rPr>
          <w:sz w:val="18"/>
          <w:szCs w:val="18"/>
          <w:lang w:val="en-GB"/>
        </w:rPr>
        <w:t>More information available here : http://www.cluster-maritime.fr/pdf/Brochure_CMF_EN_2009.pdf</w:t>
      </w:r>
    </w:p>
  </w:footnote>
  <w:footnote w:id="3">
    <w:p w:rsidR="00F7433D" w:rsidRPr="00062405" w:rsidRDefault="00F7433D">
      <w:pPr>
        <w:pStyle w:val="FootnoteText"/>
        <w:rPr>
          <w:lang w:val="fr-BE"/>
        </w:rPr>
      </w:pPr>
      <w:r w:rsidRPr="008744D6">
        <w:rPr>
          <w:rStyle w:val="FootnoteReference"/>
          <w:sz w:val="18"/>
          <w:szCs w:val="18"/>
        </w:rPr>
        <w:footnoteRef/>
      </w:r>
      <w:r w:rsidRPr="008744D6">
        <w:rPr>
          <w:sz w:val="18"/>
          <w:szCs w:val="18"/>
        </w:rPr>
        <w:t xml:space="preserve"> </w:t>
      </w:r>
      <w:r w:rsidRPr="008744D6">
        <w:rPr>
          <w:sz w:val="18"/>
          <w:szCs w:val="18"/>
          <w:lang w:val="fr-BE"/>
        </w:rPr>
        <w:t>Le Cluster Maritime Français.</w:t>
      </w:r>
      <w:r>
        <w:rPr>
          <w:sz w:val="18"/>
          <w:szCs w:val="18"/>
          <w:lang w:val="fr-BE"/>
        </w:rPr>
        <w:t xml:space="preserve"> </w:t>
      </w:r>
      <w:r w:rsidRPr="004E2A4F">
        <w:rPr>
          <w:sz w:val="18"/>
          <w:szCs w:val="18"/>
          <w:lang w:val="fr-BE"/>
        </w:rPr>
        <w:t>http://www.cluster-maritime.fr/article.php?id=17&amp;lang=Fr</w:t>
      </w:r>
    </w:p>
  </w:footnote>
  <w:footnote w:id="4">
    <w:p w:rsidR="00F7433D" w:rsidRPr="00EC0540" w:rsidRDefault="00F7433D" w:rsidP="003D46EA">
      <w:pPr>
        <w:pStyle w:val="FootnoteText"/>
        <w:jc w:val="left"/>
        <w:rPr>
          <w:sz w:val="18"/>
          <w:szCs w:val="18"/>
          <w:lang w:val="en-GB"/>
        </w:rPr>
      </w:pPr>
      <w:r w:rsidRPr="003D46EA">
        <w:rPr>
          <w:rStyle w:val="FootnoteReference"/>
          <w:sz w:val="18"/>
          <w:szCs w:val="18"/>
        </w:rPr>
        <w:footnoteRef/>
      </w:r>
      <w:r w:rsidRPr="00EE6C34">
        <w:rPr>
          <w:sz w:val="18"/>
          <w:szCs w:val="18"/>
          <w:lang w:val="en-GB"/>
        </w:rPr>
        <w:t xml:space="preserve"> </w:t>
      </w:r>
      <w:r w:rsidRPr="005A08AA">
        <w:rPr>
          <w:sz w:val="18"/>
          <w:szCs w:val="18"/>
          <w:lang w:val="en-GB"/>
        </w:rPr>
        <w:t xml:space="preserve">The share of coastal population in national total is 38%. </w:t>
      </w:r>
      <w:r w:rsidRPr="005A08AA">
        <w:rPr>
          <w:sz w:val="18"/>
          <w:szCs w:val="18"/>
          <w:lang w:val="nl-NL"/>
        </w:rPr>
        <w:t>Source: Eurostat GISCO database, quoted in the 2010 Eurostat ‘Statistics in Focus’, available here</w:t>
      </w:r>
      <w:r w:rsidRPr="00EC0540">
        <w:rPr>
          <w:sz w:val="18"/>
          <w:szCs w:val="18"/>
          <w:lang w:val="en-GB"/>
        </w:rPr>
        <w:t xml:space="preserve">: http://epp.eurostat.ec.europa.eu/cache/ITY_OFFPUB/KS-SF-10-038/EN/KS-SF-10-038-EN.PDF. </w:t>
      </w:r>
    </w:p>
  </w:footnote>
  <w:footnote w:id="5">
    <w:p w:rsidR="00F7433D" w:rsidRPr="00EC0540" w:rsidRDefault="00F7433D" w:rsidP="00877EDF">
      <w:pPr>
        <w:pStyle w:val="FootnoteText"/>
        <w:jc w:val="left"/>
        <w:rPr>
          <w:sz w:val="18"/>
          <w:szCs w:val="18"/>
          <w:lang w:val="en-GB"/>
        </w:rPr>
      </w:pPr>
      <w:r w:rsidRPr="00877EDF">
        <w:rPr>
          <w:rStyle w:val="FootnoteReference"/>
          <w:sz w:val="18"/>
          <w:szCs w:val="18"/>
        </w:rPr>
        <w:footnoteRef/>
      </w:r>
      <w:r w:rsidRPr="00EC0540">
        <w:rPr>
          <w:sz w:val="18"/>
          <w:szCs w:val="18"/>
          <w:lang w:val="en-GB"/>
        </w:rPr>
        <w:t xml:space="preserve"> When referring to coastal regions, we refer to the definition given by Eurostat, which describes coastal regions as regions with a sea border, regions with more than half of its population within 50 km of the sea. This definition is also used in the Sogeti study mentioned before. See Eurostat GISCO database  and Appendix 1 of the Sogeti study. </w:t>
      </w:r>
    </w:p>
  </w:footnote>
  <w:footnote w:id="6">
    <w:p w:rsidR="00F7433D" w:rsidRPr="00EC0540" w:rsidRDefault="00F7433D">
      <w:pPr>
        <w:pStyle w:val="FootnoteText"/>
        <w:rPr>
          <w:sz w:val="18"/>
          <w:szCs w:val="18"/>
          <w:lang w:val="en-GB"/>
        </w:rPr>
      </w:pPr>
      <w:r w:rsidRPr="00877EDF">
        <w:rPr>
          <w:rStyle w:val="FootnoteReference"/>
          <w:sz w:val="18"/>
          <w:szCs w:val="18"/>
        </w:rPr>
        <w:footnoteRef/>
      </w:r>
      <w:r w:rsidRPr="00EC0540">
        <w:rPr>
          <w:sz w:val="18"/>
          <w:szCs w:val="18"/>
          <w:lang w:val="en-GB"/>
        </w:rPr>
        <w:t xml:space="preserve"> European Commission, DG Fisheries and Maritime Affairs, ‘Studies aiming at improving national maritime and coastal statistics’, Sogeti, Eurostat, 2008: Description of the coastal and sea areas in the European Union. Chapter 2. P. 98. Available here: https://webgate.ec.europa.eu/maritimeforum/content/498. </w:t>
      </w:r>
    </w:p>
  </w:footnote>
  <w:footnote w:id="7">
    <w:p w:rsidR="00F7433D" w:rsidRPr="005A08AA" w:rsidRDefault="00F7433D" w:rsidP="00062405">
      <w:pPr>
        <w:pStyle w:val="FootnoteText"/>
        <w:jc w:val="left"/>
        <w:rPr>
          <w:sz w:val="18"/>
          <w:szCs w:val="18"/>
          <w:lang w:val="en-GB"/>
        </w:rPr>
      </w:pPr>
      <w:r w:rsidRPr="005A08AA">
        <w:rPr>
          <w:rStyle w:val="FootnoteReference"/>
          <w:sz w:val="18"/>
          <w:szCs w:val="18"/>
        </w:rPr>
        <w:footnoteRef/>
      </w:r>
      <w:r w:rsidRPr="005A08AA">
        <w:rPr>
          <w:sz w:val="18"/>
          <w:szCs w:val="18"/>
          <w:lang w:val="en-GB"/>
        </w:rPr>
        <w:t xml:space="preserve"> </w:t>
      </w:r>
      <w:r w:rsidRPr="00877EDF">
        <w:rPr>
          <w:i/>
          <w:sz w:val="18"/>
          <w:szCs w:val="18"/>
          <w:lang w:val="en-GB"/>
        </w:rPr>
        <w:t>Ibid.</w:t>
      </w:r>
    </w:p>
  </w:footnote>
  <w:footnote w:id="8">
    <w:p w:rsidR="00F7433D" w:rsidRPr="00EC0540" w:rsidRDefault="00F7433D">
      <w:pPr>
        <w:pStyle w:val="FootnoteText"/>
        <w:rPr>
          <w:sz w:val="18"/>
          <w:szCs w:val="18"/>
          <w:lang w:val="en-GB"/>
        </w:rPr>
      </w:pPr>
      <w:r w:rsidRPr="00877EDF">
        <w:rPr>
          <w:rStyle w:val="FootnoteReference"/>
          <w:sz w:val="18"/>
          <w:szCs w:val="18"/>
        </w:rPr>
        <w:footnoteRef/>
      </w:r>
      <w:r w:rsidRPr="00EC0540">
        <w:rPr>
          <w:sz w:val="18"/>
          <w:szCs w:val="18"/>
          <w:lang w:val="en-GB"/>
        </w:rPr>
        <w:t xml:space="preserve"> </w:t>
      </w:r>
      <w:r w:rsidRPr="00EC0540">
        <w:rPr>
          <w:i/>
          <w:sz w:val="18"/>
          <w:szCs w:val="18"/>
          <w:lang w:val="en-GB"/>
        </w:rPr>
        <w:t xml:space="preserve">Ibid. </w:t>
      </w:r>
    </w:p>
  </w:footnote>
  <w:footnote w:id="9">
    <w:p w:rsidR="00F7433D" w:rsidRPr="00EC0540" w:rsidRDefault="00F7433D" w:rsidP="00C1292F">
      <w:pPr>
        <w:pStyle w:val="FootnoteText"/>
        <w:rPr>
          <w:sz w:val="18"/>
          <w:szCs w:val="18"/>
          <w:lang w:val="en-GB"/>
        </w:rPr>
      </w:pPr>
      <w:r w:rsidRPr="00877EDF">
        <w:rPr>
          <w:rStyle w:val="FootnoteReference"/>
          <w:sz w:val="18"/>
          <w:szCs w:val="18"/>
        </w:rPr>
        <w:footnoteRef/>
      </w:r>
      <w:r w:rsidRPr="00EC0540">
        <w:rPr>
          <w:sz w:val="18"/>
          <w:szCs w:val="18"/>
          <w:lang w:val="en-GB"/>
        </w:rPr>
        <w:t xml:space="preserve"> Coastal communities are the geographical level chosen by the French national institute for statistics (INSEE) for providing data on coastal population. For a definition of coastal communities, INSEE refers to the French Coastal Act of 1986, in which coastal communities are defined as towns bordering the ocean, lagoons or estuaries at the transverse limit of the sea. </w:t>
      </w:r>
    </w:p>
  </w:footnote>
  <w:footnote w:id="10">
    <w:p w:rsidR="00F7433D" w:rsidRPr="00877EDF" w:rsidRDefault="00F7433D" w:rsidP="00877EDF">
      <w:pPr>
        <w:pStyle w:val="FootnoteText"/>
        <w:jc w:val="left"/>
        <w:rPr>
          <w:lang w:val="fr-BE"/>
        </w:rPr>
      </w:pPr>
      <w:r w:rsidRPr="005A08AA">
        <w:rPr>
          <w:rStyle w:val="FootnoteReference"/>
          <w:sz w:val="18"/>
          <w:szCs w:val="18"/>
        </w:rPr>
        <w:footnoteRef/>
      </w:r>
      <w:r w:rsidRPr="00EC0540">
        <w:rPr>
          <w:sz w:val="18"/>
          <w:szCs w:val="18"/>
          <w:lang w:val="en-GB"/>
        </w:rPr>
        <w:t xml:space="preserve"> Thse figures do not include overseas territories nor Corse. </w:t>
      </w:r>
      <w:r w:rsidRPr="00877EDF">
        <w:rPr>
          <w:sz w:val="18"/>
          <w:szCs w:val="18"/>
          <w:lang w:val="fr-BE"/>
        </w:rPr>
        <w:t>Insee, Démographie et économie du littoral, available here : http://www.insee.fr/fr/insee_regions/aquitaine/themes/edossier/edos0901/3_populat.pdf</w:t>
      </w:r>
    </w:p>
  </w:footnote>
  <w:footnote w:id="11">
    <w:p w:rsidR="00F7433D" w:rsidRPr="003D46EA" w:rsidRDefault="00F7433D" w:rsidP="003D46EA">
      <w:pPr>
        <w:pStyle w:val="FootnoteText"/>
        <w:jc w:val="left"/>
        <w:rPr>
          <w:sz w:val="18"/>
          <w:szCs w:val="18"/>
          <w:lang w:val="nl-NL"/>
        </w:rPr>
      </w:pPr>
      <w:r w:rsidRPr="00F51AA9">
        <w:rPr>
          <w:rStyle w:val="FootnoteReference"/>
          <w:sz w:val="18"/>
          <w:szCs w:val="18"/>
        </w:rPr>
        <w:footnoteRef/>
      </w:r>
      <w:r w:rsidRPr="00F51AA9">
        <w:rPr>
          <w:sz w:val="18"/>
          <w:szCs w:val="18"/>
          <w:lang w:val="en-GB"/>
        </w:rPr>
        <w:t xml:space="preserve"> </w:t>
      </w:r>
      <w:r w:rsidRPr="00F51AA9">
        <w:rPr>
          <w:sz w:val="18"/>
          <w:szCs w:val="18"/>
          <w:lang w:val="nl-NL"/>
        </w:rPr>
        <w:t xml:space="preserve">Ifremer (2007) Study in the field of maritime policy, available here: </w:t>
      </w:r>
      <w:r w:rsidRPr="00EE6C34">
        <w:rPr>
          <w:sz w:val="18"/>
          <w:szCs w:val="18"/>
          <w:lang w:val="en-GB"/>
        </w:rPr>
        <w:t xml:space="preserve"> </w:t>
      </w:r>
      <w:r w:rsidRPr="00F51AA9">
        <w:rPr>
          <w:sz w:val="18"/>
          <w:szCs w:val="18"/>
          <w:lang w:val="nl-NL"/>
        </w:rPr>
        <w:t>https://webgate.ec.europa.eu/maritimeforum/system/files/Eurostat</w:t>
      </w:r>
      <w:r w:rsidRPr="008104BB">
        <w:rPr>
          <w:sz w:val="18"/>
          <w:szCs w:val="18"/>
          <w:lang w:val="nl-NL"/>
        </w:rPr>
        <w:t>_MP_Study_Final%20Report_R1_Volume_1_MainPart.pdf</w:t>
      </w:r>
    </w:p>
  </w:footnote>
  <w:footnote w:id="12">
    <w:p w:rsidR="00F7433D" w:rsidRPr="003D46EA" w:rsidRDefault="00F7433D" w:rsidP="003D46EA">
      <w:pPr>
        <w:pStyle w:val="FootnoteText"/>
        <w:jc w:val="left"/>
        <w:rPr>
          <w:sz w:val="18"/>
          <w:szCs w:val="18"/>
          <w:lang w:val="nl-NL"/>
        </w:rPr>
      </w:pPr>
      <w:r w:rsidRPr="003D46EA">
        <w:rPr>
          <w:rStyle w:val="FootnoteReference"/>
          <w:sz w:val="18"/>
          <w:szCs w:val="18"/>
        </w:rPr>
        <w:footnoteRef/>
      </w:r>
      <w:r w:rsidRPr="003D46EA">
        <w:rPr>
          <w:sz w:val="18"/>
          <w:szCs w:val="18"/>
          <w:lang w:val="en-GB"/>
        </w:rPr>
        <w:t xml:space="preserve"> </w:t>
      </w:r>
      <w:r w:rsidRPr="003D46EA">
        <w:rPr>
          <w:sz w:val="18"/>
          <w:szCs w:val="18"/>
          <w:lang w:val="nl-NL"/>
        </w:rPr>
        <w:t>Based on http://www.onml.fr/onml_f/Emploi-salarie-dans-les-trois-principaux-secteurs-de-leconomie-maritime-hors-tourisme</w:t>
      </w:r>
    </w:p>
  </w:footnote>
  <w:footnote w:id="13">
    <w:p w:rsidR="00F7433D" w:rsidRPr="00EC0540" w:rsidRDefault="00F7433D" w:rsidP="00F6318D">
      <w:pPr>
        <w:pStyle w:val="FootnoteText"/>
        <w:rPr>
          <w:sz w:val="18"/>
          <w:szCs w:val="18"/>
          <w:lang w:val="en-GB"/>
        </w:rPr>
      </w:pPr>
      <w:r>
        <w:rPr>
          <w:rStyle w:val="FootnoteReference"/>
        </w:rPr>
        <w:footnoteRef/>
      </w:r>
      <w:r w:rsidRPr="00EC0540">
        <w:rPr>
          <w:lang w:val="en-GB"/>
        </w:rPr>
        <w:t xml:space="preserve"> </w:t>
      </w:r>
      <w:r w:rsidRPr="00EC0540">
        <w:rPr>
          <w:sz w:val="18"/>
          <w:szCs w:val="18"/>
          <w:lang w:val="en-GB"/>
        </w:rPr>
        <w:t>The geographical coverage of data retrieved from official national statistics (INSEE) reported in this section are limited to metropolitan France and hence exclude all French overseas territories. As for Eurostat data, the Eurostat Structural Business Statistics Methodology clarifies that, for France, all regions are covered, including the French Overseas Departments and</w:t>
      </w:r>
    </w:p>
    <w:p w:rsidR="00F7433D" w:rsidRPr="00EC0540" w:rsidRDefault="00F7433D" w:rsidP="00F6318D">
      <w:pPr>
        <w:pStyle w:val="FootnoteText"/>
        <w:rPr>
          <w:lang w:val="en-GB"/>
        </w:rPr>
      </w:pPr>
      <w:r w:rsidRPr="00EC0540">
        <w:rPr>
          <w:sz w:val="18"/>
          <w:szCs w:val="18"/>
          <w:lang w:val="en-GB"/>
        </w:rPr>
        <w:t>Territories. For more information : http://ec.europa.eu/eurostat/ramon/nat_methods/SBS/SBS_Meth_FR.pdf</w:t>
      </w:r>
    </w:p>
  </w:footnote>
  <w:footnote w:id="14">
    <w:p w:rsidR="00F7433D" w:rsidRPr="003D46EA" w:rsidRDefault="00F7433D" w:rsidP="003D46EA">
      <w:pPr>
        <w:pStyle w:val="FootnoteText"/>
        <w:jc w:val="left"/>
        <w:rPr>
          <w:sz w:val="18"/>
          <w:szCs w:val="18"/>
          <w:lang w:val="nl-NL"/>
        </w:rPr>
      </w:pPr>
      <w:r w:rsidRPr="003D46EA">
        <w:rPr>
          <w:rStyle w:val="FootnoteReference"/>
          <w:sz w:val="18"/>
          <w:szCs w:val="18"/>
        </w:rPr>
        <w:footnoteRef/>
      </w:r>
      <w:r w:rsidRPr="003D46EA">
        <w:rPr>
          <w:sz w:val="18"/>
          <w:szCs w:val="18"/>
          <w:lang w:val="en-GB"/>
        </w:rPr>
        <w:t xml:space="preserve"> </w:t>
      </w:r>
      <w:r w:rsidRPr="003D46EA">
        <w:rPr>
          <w:sz w:val="18"/>
          <w:szCs w:val="18"/>
          <w:lang w:val="nl-NL"/>
        </w:rPr>
        <w:t>The maritime economic acitivities are consistent with the activities discerned in the Blue Growth Study. In deviation to this study Shipbuilding and the Construction of Water projects are added as separate economic activities.</w:t>
      </w:r>
    </w:p>
  </w:footnote>
  <w:footnote w:id="15">
    <w:p w:rsidR="00F7433D" w:rsidRPr="003D46EA" w:rsidRDefault="00F7433D" w:rsidP="003D46EA">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This figure excludes </w:t>
      </w:r>
      <w:r>
        <w:rPr>
          <w:sz w:val="18"/>
          <w:szCs w:val="18"/>
          <w:lang w:val="en-GB"/>
        </w:rPr>
        <w:t xml:space="preserve">the construction of </w:t>
      </w:r>
      <w:r w:rsidRPr="003D46EA">
        <w:rPr>
          <w:sz w:val="18"/>
          <w:szCs w:val="18"/>
          <w:lang w:val="en-GB"/>
        </w:rPr>
        <w:t>leisure boats</w:t>
      </w:r>
    </w:p>
  </w:footnote>
  <w:footnote w:id="16">
    <w:p w:rsidR="00F7433D" w:rsidRPr="003D46EA" w:rsidRDefault="00F7433D" w:rsidP="003D46EA">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According to IFP Energies Nouvelles, around 90% of the sector’s turnover comes from export activities. . </w:t>
      </w:r>
    </w:p>
  </w:footnote>
  <w:footnote w:id="17">
    <w:p w:rsidR="00F7433D" w:rsidRPr="003D46EA" w:rsidRDefault="00F7433D" w:rsidP="003D46EA">
      <w:pPr>
        <w:pStyle w:val="FootnoteText"/>
        <w:jc w:val="left"/>
        <w:rPr>
          <w:sz w:val="18"/>
          <w:szCs w:val="18"/>
          <w:lang w:val="nl-NL"/>
        </w:rPr>
      </w:pPr>
      <w:r w:rsidRPr="003D46EA">
        <w:rPr>
          <w:rStyle w:val="FootnoteReference"/>
          <w:sz w:val="18"/>
          <w:szCs w:val="18"/>
        </w:rPr>
        <w:footnoteRef/>
      </w:r>
      <w:r w:rsidRPr="003D46EA">
        <w:rPr>
          <w:sz w:val="18"/>
          <w:szCs w:val="18"/>
          <w:lang w:val="en-GB"/>
        </w:rPr>
        <w:t xml:space="preserve"> </w:t>
      </w:r>
      <w:r w:rsidRPr="003D46EA">
        <w:rPr>
          <w:sz w:val="18"/>
          <w:szCs w:val="18"/>
          <w:lang w:val="nl-NL"/>
        </w:rPr>
        <w:t>Statistical data in Eurostat and national statistics on this sector are treated as confidential</w:t>
      </w:r>
    </w:p>
  </w:footnote>
  <w:footnote w:id="18">
    <w:p w:rsidR="00F7433D" w:rsidRPr="003D46EA" w:rsidRDefault="00F7433D" w:rsidP="003D46EA">
      <w:pPr>
        <w:pStyle w:val="FootnoteText"/>
        <w:jc w:val="left"/>
        <w:rPr>
          <w:sz w:val="18"/>
          <w:szCs w:val="18"/>
          <w:lang w:val="nl-NL"/>
        </w:rPr>
      </w:pPr>
      <w:r w:rsidRPr="003D46EA">
        <w:rPr>
          <w:rStyle w:val="FootnoteReference"/>
          <w:sz w:val="18"/>
          <w:szCs w:val="18"/>
        </w:rPr>
        <w:footnoteRef/>
      </w:r>
      <w:r w:rsidRPr="003D46EA">
        <w:rPr>
          <w:sz w:val="18"/>
          <w:szCs w:val="18"/>
          <w:lang w:val="en-GB"/>
        </w:rPr>
        <w:t xml:space="preserve"> </w:t>
      </w:r>
      <w:r w:rsidRPr="003D46EA">
        <w:rPr>
          <w:sz w:val="18"/>
          <w:szCs w:val="18"/>
          <w:lang w:val="nl-NL"/>
        </w:rPr>
        <w:t xml:space="preserve">Total number of companies in oils and gas (NACE codes 6.10, 6.20, 9.10) times % of ofshore oil and gas production in total (in kTOE) </w:t>
      </w:r>
    </w:p>
  </w:footnote>
  <w:footnote w:id="19">
    <w:p w:rsidR="00F7433D" w:rsidRPr="003D46EA" w:rsidRDefault="00F7433D" w:rsidP="0092748F">
      <w:pPr>
        <w:pStyle w:val="FootnoteText"/>
        <w:jc w:val="left"/>
        <w:rPr>
          <w:sz w:val="18"/>
          <w:szCs w:val="18"/>
          <w:lang w:val="nl-NL"/>
        </w:rPr>
      </w:pPr>
      <w:r w:rsidRPr="003D46EA">
        <w:rPr>
          <w:rStyle w:val="FootnoteReference"/>
          <w:sz w:val="18"/>
          <w:szCs w:val="18"/>
        </w:rPr>
        <w:footnoteRef/>
      </w:r>
      <w:r w:rsidRPr="003D46EA">
        <w:rPr>
          <w:sz w:val="18"/>
          <w:szCs w:val="18"/>
          <w:lang w:val="en-GB"/>
        </w:rPr>
        <w:t xml:space="preserve"> </w:t>
      </w:r>
      <w:r>
        <w:rPr>
          <w:sz w:val="18"/>
          <w:szCs w:val="18"/>
          <w:lang w:val="en-GB"/>
        </w:rPr>
        <w:t xml:space="preserve">Key GVA and employment are related to the La Rance tidal barrage, apart from employment in more experimental ocean energy pilots. </w:t>
      </w:r>
    </w:p>
  </w:footnote>
  <w:footnote w:id="20">
    <w:p w:rsidR="00F7433D" w:rsidRPr="00EC0540" w:rsidRDefault="00F7433D">
      <w:pPr>
        <w:pStyle w:val="FootnoteText"/>
        <w:rPr>
          <w:sz w:val="18"/>
          <w:szCs w:val="18"/>
          <w:lang w:val="nl-NL"/>
        </w:rPr>
      </w:pPr>
      <w:r w:rsidRPr="00877EDF">
        <w:rPr>
          <w:rStyle w:val="FootnoteReference"/>
          <w:sz w:val="18"/>
          <w:szCs w:val="18"/>
        </w:rPr>
        <w:footnoteRef/>
      </w:r>
      <w:r w:rsidRPr="00EC0540">
        <w:rPr>
          <w:sz w:val="18"/>
          <w:szCs w:val="18"/>
          <w:lang w:val="nl-NL"/>
        </w:rPr>
        <w:t xml:space="preserve"> http://www.lajauneetlarouge.com/article/la-construction-navale-de-defense-moderne-et-performante</w:t>
      </w:r>
    </w:p>
  </w:footnote>
  <w:footnote w:id="21">
    <w:p w:rsidR="00F7433D" w:rsidRPr="00307F8A" w:rsidRDefault="00F7433D" w:rsidP="0082785B">
      <w:pPr>
        <w:pStyle w:val="FootnoteText"/>
        <w:jc w:val="left"/>
        <w:rPr>
          <w:sz w:val="18"/>
          <w:szCs w:val="18"/>
          <w:lang w:val="fr-BE"/>
        </w:rPr>
      </w:pPr>
      <w:r w:rsidRPr="00307F8A">
        <w:rPr>
          <w:rStyle w:val="FootnoteReference"/>
          <w:sz w:val="18"/>
          <w:szCs w:val="18"/>
        </w:rPr>
        <w:footnoteRef/>
      </w:r>
      <w:r w:rsidRPr="00307F8A">
        <w:rPr>
          <w:sz w:val="18"/>
          <w:szCs w:val="18"/>
        </w:rPr>
        <w:t xml:space="preserve"> </w:t>
      </w:r>
      <w:r w:rsidRPr="00307F8A">
        <w:rPr>
          <w:sz w:val="18"/>
          <w:szCs w:val="18"/>
          <w:lang w:val="fr-BE"/>
        </w:rPr>
        <w:t>Le Cluster Maritime Français, 2011. For more information : http://www.cluster-maritime.fr/article.php?id=14&amp;lang=Fr</w:t>
      </w:r>
    </w:p>
  </w:footnote>
  <w:footnote w:id="22">
    <w:p w:rsidR="00F7433D" w:rsidRPr="00EC0540" w:rsidRDefault="00F7433D">
      <w:pPr>
        <w:pStyle w:val="FootnoteText"/>
        <w:rPr>
          <w:sz w:val="18"/>
          <w:szCs w:val="18"/>
          <w:lang w:val="en-GB"/>
        </w:rPr>
      </w:pPr>
      <w:r w:rsidRPr="00877EDF">
        <w:rPr>
          <w:rStyle w:val="FootnoteReference"/>
          <w:sz w:val="18"/>
          <w:szCs w:val="18"/>
        </w:rPr>
        <w:footnoteRef/>
      </w:r>
      <w:r w:rsidRPr="00EC0540">
        <w:rPr>
          <w:sz w:val="18"/>
          <w:szCs w:val="18"/>
          <w:lang w:val="en-GB"/>
        </w:rPr>
        <w:t xml:space="preserve"> </w:t>
      </w:r>
      <w:r w:rsidRPr="00EC0540">
        <w:rPr>
          <w:i/>
          <w:sz w:val="18"/>
          <w:szCs w:val="18"/>
          <w:lang w:val="en-GB"/>
        </w:rPr>
        <w:t>Ibid.</w:t>
      </w:r>
    </w:p>
  </w:footnote>
  <w:footnote w:id="23">
    <w:p w:rsidR="00F7433D" w:rsidRPr="00EC0540" w:rsidRDefault="00F7433D" w:rsidP="00EF5B13">
      <w:pPr>
        <w:pStyle w:val="FootnoteText"/>
        <w:jc w:val="left"/>
        <w:rPr>
          <w:sz w:val="18"/>
          <w:szCs w:val="18"/>
          <w:lang w:val="en-GB"/>
        </w:rPr>
      </w:pPr>
      <w:r w:rsidRPr="00307F8A">
        <w:rPr>
          <w:rStyle w:val="FootnoteReference"/>
          <w:sz w:val="18"/>
          <w:szCs w:val="18"/>
        </w:rPr>
        <w:footnoteRef/>
      </w:r>
      <w:r w:rsidRPr="00EC0540">
        <w:rPr>
          <w:sz w:val="18"/>
          <w:szCs w:val="18"/>
          <w:lang w:val="en-GB"/>
        </w:rPr>
        <w:t xml:space="preserve"> http://www.cluster-maritime.fr/article.php?id=14&amp;lang=Fr</w:t>
      </w:r>
    </w:p>
  </w:footnote>
  <w:footnote w:id="24">
    <w:p w:rsidR="00F7433D" w:rsidRPr="00EC0540" w:rsidRDefault="00F7433D">
      <w:pPr>
        <w:pStyle w:val="FootnoteText"/>
        <w:rPr>
          <w:lang w:val="en-GB"/>
        </w:rPr>
      </w:pPr>
      <w:r w:rsidRPr="00877EDF">
        <w:rPr>
          <w:rStyle w:val="FootnoteReference"/>
          <w:sz w:val="18"/>
          <w:szCs w:val="18"/>
        </w:rPr>
        <w:footnoteRef/>
      </w:r>
      <w:r w:rsidRPr="00EC0540">
        <w:rPr>
          <w:sz w:val="18"/>
          <w:szCs w:val="18"/>
          <w:lang w:val="en-GB"/>
        </w:rPr>
        <w:t xml:space="preserve"> See the analysis of the Cluster Maritime Français, http://www.cluster-maritime.fr/article.php?lang=Uk&amp;id=21</w:t>
      </w:r>
    </w:p>
  </w:footnote>
  <w:footnote w:id="25">
    <w:p w:rsidR="00F7433D" w:rsidRPr="003D46EA" w:rsidRDefault="00F7433D" w:rsidP="00EF5B13">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CESAAR, 2011</w:t>
      </w:r>
      <w:r>
        <w:rPr>
          <w:sz w:val="18"/>
          <w:szCs w:val="18"/>
          <w:lang w:val="en-GB"/>
        </w:rPr>
        <w:t>, see above.</w:t>
      </w:r>
      <w:r w:rsidRPr="003D46EA">
        <w:rPr>
          <w:sz w:val="18"/>
          <w:szCs w:val="18"/>
          <w:lang w:val="en-GB"/>
        </w:rPr>
        <w:t>.</w:t>
      </w:r>
    </w:p>
  </w:footnote>
  <w:footnote w:id="26">
    <w:p w:rsidR="00F7433D" w:rsidRPr="00EE6C34" w:rsidRDefault="00F7433D">
      <w:pPr>
        <w:pStyle w:val="FootnoteText"/>
        <w:rPr>
          <w:lang w:val="en-GB"/>
        </w:rPr>
      </w:pPr>
      <w:r w:rsidRPr="00062405">
        <w:rPr>
          <w:rStyle w:val="FootnoteReference"/>
          <w:sz w:val="18"/>
          <w:szCs w:val="18"/>
        </w:rPr>
        <w:footnoteRef/>
      </w:r>
      <w:r w:rsidRPr="00EE6C34">
        <w:rPr>
          <w:sz w:val="18"/>
          <w:szCs w:val="18"/>
          <w:lang w:val="en-GB"/>
        </w:rPr>
        <w:t xml:space="preserve"> Cconstruction of water projects includes the construction of : waterways harbour and river work, pleasure ports, locks, dams and dykes. It also includes the dredging of waterways</w:t>
      </w:r>
      <w:r w:rsidRPr="00EE6C34">
        <w:rPr>
          <w:lang w:val="en-GB"/>
        </w:rPr>
        <w:t>.</w:t>
      </w:r>
    </w:p>
  </w:footnote>
  <w:footnote w:id="27">
    <w:p w:rsidR="00F7433D" w:rsidRPr="003D46EA" w:rsidRDefault="00F7433D" w:rsidP="00EF5B13">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w:t>
      </w:r>
      <w:r>
        <w:rPr>
          <w:sz w:val="18"/>
          <w:szCs w:val="18"/>
          <w:lang w:val="en-GB"/>
        </w:rPr>
        <w:t>Insee figures confir</w:t>
      </w:r>
      <w:r w:rsidRPr="006B3FDD">
        <w:rPr>
          <w:sz w:val="18"/>
          <w:szCs w:val="18"/>
          <w:lang w:val="en-GB"/>
        </w:rPr>
        <w:t xml:space="preserve">m data provided by Eurostat. For more information see : </w:t>
      </w:r>
      <w:r w:rsidRPr="003D46EA">
        <w:rPr>
          <w:sz w:val="18"/>
          <w:szCs w:val="18"/>
          <w:lang w:val="en-GB"/>
        </w:rPr>
        <w:t>http://www.insee.fr/fr/themes/detail.asp?reg_id=0&amp;ref_id=esa-construction-2009&amp;page=donnees-detaillees/esa/esa-construction/esa-construction-2009/fiche4291Z.html</w:t>
      </w:r>
    </w:p>
  </w:footnote>
  <w:footnote w:id="28">
    <w:p w:rsidR="00F7433D" w:rsidRPr="003D46EA" w:rsidRDefault="00F7433D" w:rsidP="00EF5B13">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Ifremer, 2010. For more information : http://www.ifremer.fr/demf/tpmf_fre.html</w:t>
      </w:r>
    </w:p>
  </w:footnote>
  <w:footnote w:id="29">
    <w:p w:rsidR="00F7433D" w:rsidRPr="00A472D7" w:rsidRDefault="00F7433D" w:rsidP="00C045D6">
      <w:pPr>
        <w:pStyle w:val="FootnoteText"/>
        <w:jc w:val="left"/>
        <w:rPr>
          <w:sz w:val="18"/>
          <w:szCs w:val="18"/>
          <w:lang w:val="fr-BE"/>
        </w:rPr>
      </w:pPr>
      <w:r w:rsidRPr="00481B07">
        <w:rPr>
          <w:rStyle w:val="FootnoteReference"/>
          <w:sz w:val="18"/>
          <w:szCs w:val="18"/>
        </w:rPr>
        <w:footnoteRef/>
      </w:r>
      <w:r w:rsidRPr="00481B07">
        <w:rPr>
          <w:sz w:val="18"/>
          <w:szCs w:val="18"/>
        </w:rPr>
        <w:t xml:space="preserve"> </w:t>
      </w:r>
      <w:r w:rsidRPr="00A472D7">
        <w:rPr>
          <w:sz w:val="18"/>
          <w:szCs w:val="18"/>
          <w:lang w:val="fr-BE"/>
        </w:rPr>
        <w:t>Le Cluster Maritime Français, 2012.  More information available here : http://www.cluster-maritime.fr/article.php?id=3&amp;lang=Fr.</w:t>
      </w:r>
    </w:p>
  </w:footnote>
  <w:footnote w:id="30">
    <w:p w:rsidR="00F7433D" w:rsidRPr="00A472D7" w:rsidRDefault="00F7433D" w:rsidP="00C045D6">
      <w:pPr>
        <w:pStyle w:val="FootnoteText"/>
        <w:jc w:val="left"/>
        <w:rPr>
          <w:sz w:val="18"/>
          <w:szCs w:val="18"/>
          <w:lang w:val="fr-BE"/>
        </w:rPr>
      </w:pPr>
      <w:r w:rsidRPr="00A472D7">
        <w:rPr>
          <w:rStyle w:val="FootnoteReference"/>
          <w:sz w:val="18"/>
          <w:szCs w:val="18"/>
        </w:rPr>
        <w:footnoteRef/>
      </w:r>
      <w:r w:rsidRPr="00A472D7">
        <w:rPr>
          <w:sz w:val="18"/>
          <w:szCs w:val="18"/>
          <w:lang w:val="en-GB"/>
        </w:rPr>
        <w:t xml:space="preserve"> Deep-sea shipping is intended as international (freight) transport by sea with large vessels that often sail fixed routes (containers, major bulks) or tramp shipping. </w:t>
      </w:r>
      <w:r w:rsidRPr="00A472D7">
        <w:rPr>
          <w:sz w:val="18"/>
          <w:szCs w:val="18"/>
        </w:rPr>
        <w:t>Source : https://webgate.ec.europa.eu/maritimeforum/system/files/Subfunction%201.2%20Short%20Sea%20Shipping_Final%20v120813.pdf</w:t>
      </w:r>
    </w:p>
  </w:footnote>
  <w:footnote w:id="31">
    <w:p w:rsidR="00F7433D" w:rsidRPr="00A472D7" w:rsidRDefault="00F7433D" w:rsidP="00C045D6">
      <w:pPr>
        <w:pStyle w:val="FootnoteText"/>
        <w:jc w:val="left"/>
        <w:rPr>
          <w:sz w:val="18"/>
          <w:szCs w:val="18"/>
          <w:lang w:val="fr-BE"/>
        </w:rPr>
      </w:pPr>
      <w:r w:rsidRPr="00A472D7">
        <w:rPr>
          <w:rStyle w:val="FootnoteReference"/>
          <w:sz w:val="18"/>
          <w:szCs w:val="18"/>
        </w:rPr>
        <w:footnoteRef/>
      </w:r>
      <w:r w:rsidRPr="00A472D7">
        <w:rPr>
          <w:sz w:val="18"/>
          <w:szCs w:val="18"/>
          <w:lang w:val="en-GB"/>
        </w:rPr>
        <w:t xml:space="preserve"> Short sea shipping is here defined as intra-European maritime shipping. Short sea fulfils several functions: it caters to the transport needs of European economies by providing maritime point-to-point transport of all kinds of commodities; it provides the maritime link that connects the European road network across the seas, in the form of Ro-Ro transport; it serves as feeder transport distributing container flows from the major intercontinental hubs to smaller ports, or vice versa. </w:t>
      </w:r>
      <w:r w:rsidRPr="00A472D7">
        <w:rPr>
          <w:sz w:val="18"/>
          <w:szCs w:val="18"/>
        </w:rPr>
        <w:t>Source : https://webgate.ec.europa.eu/maritimeforum/system/files/Subfunction%201.2%20Short%20Sea%20Shipping_Final%20v120813.pdf</w:t>
      </w:r>
    </w:p>
  </w:footnote>
  <w:footnote w:id="32">
    <w:p w:rsidR="00F7433D" w:rsidRPr="00EC0540" w:rsidRDefault="00F7433D">
      <w:pPr>
        <w:pStyle w:val="FootnoteText"/>
        <w:rPr>
          <w:lang w:val="en-GB"/>
        </w:rPr>
      </w:pPr>
      <w:r>
        <w:rPr>
          <w:rStyle w:val="FootnoteReference"/>
        </w:rPr>
        <w:footnoteRef/>
      </w:r>
      <w:r w:rsidRPr="00EC0540">
        <w:rPr>
          <w:lang w:val="en-GB"/>
        </w:rPr>
        <w:t xml:space="preserve"> </w:t>
      </w:r>
      <w:r w:rsidRPr="00EC0540">
        <w:rPr>
          <w:sz w:val="18"/>
          <w:szCs w:val="18"/>
          <w:lang w:val="en-GB"/>
        </w:rPr>
        <w:t>Eurostat, Short Sea Shipping - Country level - Gross weight of goods transported to/from main ports, by type of cargo, available http://appsso.eurostat.ec.europa.eu/nui/submitViewTableAction.do</w:t>
      </w:r>
      <w:r w:rsidRPr="00EC0540">
        <w:rPr>
          <w:lang w:val="en-GB"/>
        </w:rPr>
        <w:t xml:space="preserve"> </w:t>
      </w:r>
    </w:p>
  </w:footnote>
  <w:footnote w:id="33">
    <w:p w:rsidR="00F7433D" w:rsidRPr="003D46EA" w:rsidRDefault="00F7433D" w:rsidP="00C045D6">
      <w:pPr>
        <w:pStyle w:val="FootnoteText"/>
        <w:jc w:val="left"/>
        <w:rPr>
          <w:sz w:val="18"/>
          <w:szCs w:val="18"/>
          <w:lang w:val="nl-NL"/>
        </w:rPr>
      </w:pPr>
      <w:r w:rsidRPr="00481B07">
        <w:rPr>
          <w:rStyle w:val="FootnoteReference"/>
          <w:sz w:val="18"/>
          <w:szCs w:val="18"/>
        </w:rPr>
        <w:footnoteRef/>
      </w:r>
      <w:r w:rsidRPr="00481B07">
        <w:rPr>
          <w:sz w:val="18"/>
          <w:szCs w:val="18"/>
          <w:lang w:val="en-GB"/>
        </w:rPr>
        <w:t xml:space="preserve"> </w:t>
      </w:r>
      <w:r w:rsidRPr="00481B07">
        <w:rPr>
          <w:sz w:val="18"/>
          <w:szCs w:val="18"/>
          <w:lang w:val="nl-NL"/>
        </w:rPr>
        <w:t>Eurostat (2010) Data in focus – Short Sea Shipping of Goods - 2008</w:t>
      </w:r>
    </w:p>
  </w:footnote>
  <w:footnote w:id="34">
    <w:p w:rsidR="00F7433D" w:rsidRPr="00A472D7" w:rsidRDefault="00F7433D" w:rsidP="00C045D6">
      <w:pPr>
        <w:pStyle w:val="FootnoteText"/>
        <w:jc w:val="left"/>
        <w:rPr>
          <w:sz w:val="18"/>
          <w:szCs w:val="18"/>
          <w:lang w:val="fr-BE"/>
        </w:rPr>
      </w:pPr>
      <w:r w:rsidRPr="003D46EA">
        <w:rPr>
          <w:rStyle w:val="FootnoteReference"/>
          <w:sz w:val="18"/>
          <w:szCs w:val="18"/>
        </w:rPr>
        <w:footnoteRef/>
      </w:r>
      <w:r w:rsidRPr="003D46EA">
        <w:rPr>
          <w:sz w:val="18"/>
          <w:szCs w:val="18"/>
        </w:rPr>
        <w:t xml:space="preserve"> </w:t>
      </w:r>
      <w:r w:rsidRPr="00A472D7">
        <w:rPr>
          <w:sz w:val="18"/>
          <w:szCs w:val="18"/>
          <w:lang w:val="fr-BE"/>
        </w:rPr>
        <w:t>Ministère du développement durable, 2012. http://www.developpement-durable.gouv.fr/IMG/pdf/Publi_DGITM_Analyse_conjoncture_1_sem_2012_av_couverture.pdf</w:t>
      </w:r>
    </w:p>
  </w:footnote>
  <w:footnote w:id="35">
    <w:p w:rsidR="00F7433D" w:rsidRPr="00A472D7" w:rsidRDefault="00F7433D" w:rsidP="00C045D6">
      <w:pPr>
        <w:pStyle w:val="FootnoteText"/>
        <w:jc w:val="left"/>
        <w:rPr>
          <w:sz w:val="18"/>
          <w:szCs w:val="18"/>
          <w:lang w:val="fr-BE"/>
        </w:rPr>
      </w:pPr>
      <w:r w:rsidRPr="00A472D7">
        <w:rPr>
          <w:rStyle w:val="FootnoteReference"/>
          <w:sz w:val="18"/>
          <w:szCs w:val="18"/>
        </w:rPr>
        <w:footnoteRef/>
      </w:r>
      <w:r w:rsidRPr="00A472D7">
        <w:rPr>
          <w:sz w:val="18"/>
          <w:szCs w:val="18"/>
        </w:rPr>
        <w:t xml:space="preserve"> </w:t>
      </w:r>
      <w:r w:rsidRPr="00A472D7">
        <w:rPr>
          <w:sz w:val="18"/>
          <w:szCs w:val="18"/>
          <w:lang w:val="fr-BE"/>
        </w:rPr>
        <w:t>Ministère du développement durable, 2012, see above.</w:t>
      </w:r>
    </w:p>
  </w:footnote>
  <w:footnote w:id="36">
    <w:p w:rsidR="00F7433D" w:rsidRPr="00A472D7" w:rsidRDefault="00F7433D" w:rsidP="00C045D6">
      <w:pPr>
        <w:pStyle w:val="FootnoteText"/>
        <w:rPr>
          <w:sz w:val="18"/>
          <w:szCs w:val="18"/>
          <w:lang w:val="fr-BE"/>
        </w:rPr>
      </w:pPr>
      <w:r w:rsidRPr="00A472D7">
        <w:rPr>
          <w:rStyle w:val="FootnoteReference"/>
          <w:sz w:val="18"/>
          <w:szCs w:val="18"/>
        </w:rPr>
        <w:footnoteRef/>
      </w:r>
      <w:r w:rsidRPr="00A472D7">
        <w:rPr>
          <w:sz w:val="18"/>
          <w:szCs w:val="18"/>
        </w:rPr>
        <w:t xml:space="preserve"> </w:t>
      </w:r>
      <w:r w:rsidRPr="00A472D7">
        <w:rPr>
          <w:sz w:val="18"/>
          <w:szCs w:val="18"/>
          <w:lang w:val="fr-BE"/>
        </w:rPr>
        <w:t>Ministère du développement durable, 2011. More information available here : http://www.developpement-durable.gouv.fr/Le-transport-fluvial-de.html</w:t>
      </w:r>
    </w:p>
  </w:footnote>
  <w:footnote w:id="37">
    <w:p w:rsidR="00F7433D" w:rsidRPr="00A472D7" w:rsidRDefault="00F7433D" w:rsidP="00C045D6">
      <w:pPr>
        <w:pStyle w:val="FootnoteText"/>
        <w:jc w:val="left"/>
        <w:rPr>
          <w:sz w:val="18"/>
          <w:szCs w:val="18"/>
          <w:lang w:val="nl-NL"/>
        </w:rPr>
      </w:pPr>
      <w:r w:rsidRPr="00A472D7">
        <w:rPr>
          <w:rStyle w:val="FootnoteReference"/>
          <w:sz w:val="18"/>
          <w:szCs w:val="18"/>
        </w:rPr>
        <w:footnoteRef/>
      </w:r>
      <w:r w:rsidRPr="00A472D7">
        <w:rPr>
          <w:sz w:val="18"/>
          <w:szCs w:val="18"/>
        </w:rPr>
        <w:t xml:space="preserve"> See </w:t>
      </w:r>
      <w:r w:rsidRPr="00A472D7">
        <w:rPr>
          <w:sz w:val="18"/>
          <w:szCs w:val="18"/>
          <w:lang w:val="nl-NL"/>
        </w:rPr>
        <w:t>VNF www.vnf.fr</w:t>
      </w:r>
    </w:p>
  </w:footnote>
  <w:footnote w:id="38">
    <w:p w:rsidR="00F7433D" w:rsidRPr="00A472D7" w:rsidRDefault="00F7433D" w:rsidP="00C045D6">
      <w:pPr>
        <w:pStyle w:val="FootnoteText"/>
        <w:jc w:val="left"/>
        <w:rPr>
          <w:sz w:val="18"/>
          <w:szCs w:val="18"/>
          <w:lang w:val="fr-BE"/>
        </w:rPr>
      </w:pPr>
      <w:r w:rsidRPr="00A472D7">
        <w:rPr>
          <w:rStyle w:val="FootnoteReference"/>
          <w:sz w:val="18"/>
          <w:szCs w:val="18"/>
        </w:rPr>
        <w:footnoteRef/>
      </w:r>
      <w:r w:rsidRPr="00A472D7">
        <w:rPr>
          <w:sz w:val="18"/>
          <w:szCs w:val="18"/>
        </w:rPr>
        <w:t xml:space="preserve"> </w:t>
      </w:r>
      <w:r w:rsidRPr="00A472D7">
        <w:rPr>
          <w:sz w:val="18"/>
          <w:szCs w:val="18"/>
          <w:lang w:val="fr-BE"/>
        </w:rPr>
        <w:t>Ministère du développement durable, 2011, see above.</w:t>
      </w:r>
    </w:p>
  </w:footnote>
  <w:footnote w:id="39">
    <w:p w:rsidR="00F7433D" w:rsidRPr="00A472D7" w:rsidRDefault="00F7433D" w:rsidP="00C045D6">
      <w:pPr>
        <w:pStyle w:val="FootnoteText"/>
        <w:rPr>
          <w:sz w:val="18"/>
          <w:szCs w:val="18"/>
          <w:lang w:val="en-GB"/>
        </w:rPr>
      </w:pPr>
      <w:r w:rsidRPr="00A472D7">
        <w:rPr>
          <w:rStyle w:val="FootnoteReference"/>
          <w:sz w:val="18"/>
          <w:szCs w:val="18"/>
        </w:rPr>
        <w:footnoteRef/>
      </w:r>
      <w:r w:rsidRPr="00A472D7">
        <w:rPr>
          <w:sz w:val="18"/>
          <w:szCs w:val="18"/>
          <w:lang w:val="en-GB"/>
        </w:rPr>
        <w:t xml:space="preserve"> Voies Navigables de France is </w:t>
      </w:r>
      <w:r w:rsidRPr="00A472D7">
        <w:rPr>
          <w:sz w:val="18"/>
          <w:szCs w:val="18"/>
          <w:lang w:val="en"/>
        </w:rPr>
        <w:t>is the French navigation authority responsible for the management of the majority of France's inland waterways network.</w:t>
      </w:r>
    </w:p>
  </w:footnote>
  <w:footnote w:id="40">
    <w:p w:rsidR="00F7433D" w:rsidRPr="004228C8" w:rsidRDefault="00F7433D" w:rsidP="00C045D6">
      <w:pPr>
        <w:pStyle w:val="FootnoteText"/>
        <w:jc w:val="left"/>
        <w:rPr>
          <w:sz w:val="18"/>
          <w:szCs w:val="18"/>
          <w:lang w:val="fr-BE"/>
        </w:rPr>
      </w:pPr>
      <w:r w:rsidRPr="00A472D7">
        <w:rPr>
          <w:rStyle w:val="FootnoteReference"/>
          <w:sz w:val="18"/>
          <w:szCs w:val="18"/>
        </w:rPr>
        <w:footnoteRef/>
      </w:r>
      <w:r w:rsidRPr="00A472D7">
        <w:rPr>
          <w:sz w:val="18"/>
          <w:szCs w:val="18"/>
        </w:rPr>
        <w:t xml:space="preserve"> </w:t>
      </w:r>
      <w:r w:rsidRPr="00A472D7">
        <w:rPr>
          <w:sz w:val="18"/>
          <w:szCs w:val="18"/>
          <w:lang w:val="fr-BE"/>
        </w:rPr>
        <w:t>Ministère du développement durable, 2011 , see above.</w:t>
      </w:r>
    </w:p>
  </w:footnote>
  <w:footnote w:id="41">
    <w:p w:rsidR="00F7433D" w:rsidRPr="00EE6C34" w:rsidRDefault="00F7433D" w:rsidP="00C045D6">
      <w:pPr>
        <w:pStyle w:val="FootnoteText"/>
        <w:rPr>
          <w:sz w:val="18"/>
          <w:szCs w:val="18"/>
        </w:rPr>
      </w:pPr>
      <w:r w:rsidRPr="00481B07">
        <w:rPr>
          <w:rStyle w:val="FootnoteReference"/>
          <w:sz w:val="18"/>
          <w:szCs w:val="18"/>
        </w:rPr>
        <w:footnoteRef/>
      </w:r>
      <w:r w:rsidRPr="00481B07">
        <w:rPr>
          <w:sz w:val="18"/>
          <w:szCs w:val="18"/>
          <w:lang w:val="en-GB"/>
        </w:rPr>
        <w:t xml:space="preserve"> Small scale fisheries include vessels which remain out of port for less than 24 hours ; vessels active in coastal fisheries are believed to be out of port between 24 and 96 hours ; offshore fisheries remain out of port for more than 96 hours ; high seas</w:t>
      </w:r>
      <w:r w:rsidRPr="00A949AB">
        <w:rPr>
          <w:sz w:val="18"/>
          <w:szCs w:val="18"/>
          <w:lang w:val="en-GB"/>
        </w:rPr>
        <w:t xml:space="preserve"> </w:t>
      </w:r>
      <w:r w:rsidRPr="00EF5B13">
        <w:rPr>
          <w:sz w:val="18"/>
          <w:szCs w:val="18"/>
          <w:lang w:val="en-GB"/>
        </w:rPr>
        <w:t>fisheries employ vessels of over 1 000 GRT (gross register tonnage) or vessels over 150 GRT and remain out of port for more than 20 days.</w:t>
      </w:r>
      <w:r>
        <w:rPr>
          <w:sz w:val="18"/>
          <w:szCs w:val="18"/>
          <w:lang w:val="en-GB"/>
        </w:rPr>
        <w:t xml:space="preserve"> </w:t>
      </w:r>
      <w:r w:rsidRPr="00EE6C34">
        <w:rPr>
          <w:sz w:val="18"/>
          <w:szCs w:val="18"/>
        </w:rPr>
        <w:t>Source : http://www.franceagrimer.fr/content/download/3232/17747/file/fishing-booklet-complete.pdf</w:t>
      </w:r>
    </w:p>
  </w:footnote>
  <w:footnote w:id="42">
    <w:p w:rsidR="00F7433D" w:rsidRPr="00EF5B13" w:rsidRDefault="00F7433D" w:rsidP="00C045D6">
      <w:pPr>
        <w:pStyle w:val="FootnoteText"/>
        <w:jc w:val="left"/>
        <w:rPr>
          <w:sz w:val="18"/>
          <w:szCs w:val="18"/>
          <w:lang w:val="en-GB"/>
        </w:rPr>
      </w:pPr>
      <w:r w:rsidRPr="00EF5B13">
        <w:rPr>
          <w:rStyle w:val="FootnoteReference"/>
          <w:sz w:val="18"/>
          <w:szCs w:val="18"/>
        </w:rPr>
        <w:footnoteRef/>
      </w:r>
      <w:r w:rsidRPr="00EF5B13">
        <w:rPr>
          <w:sz w:val="18"/>
          <w:szCs w:val="18"/>
          <w:lang w:val="en-GB"/>
        </w:rPr>
        <w:t xml:space="preserve"> France Agrimer, 2010. More information : http://www.franceagrimer.fr/content/download/3232/17747/file/fishing-booklet-complete.pdf</w:t>
      </w:r>
    </w:p>
  </w:footnote>
  <w:footnote w:id="43">
    <w:p w:rsidR="00F7433D" w:rsidRPr="00EF5B13" w:rsidRDefault="00F7433D" w:rsidP="00C045D6">
      <w:pPr>
        <w:pStyle w:val="FootnoteText"/>
        <w:jc w:val="left"/>
        <w:rPr>
          <w:sz w:val="18"/>
          <w:szCs w:val="18"/>
          <w:lang w:val="en-GB"/>
        </w:rPr>
      </w:pPr>
      <w:r w:rsidRPr="00EF5B13">
        <w:rPr>
          <w:rStyle w:val="FootnoteReference"/>
          <w:sz w:val="18"/>
          <w:szCs w:val="18"/>
        </w:rPr>
        <w:footnoteRef/>
      </w:r>
      <w:r w:rsidRPr="00EF5B13">
        <w:rPr>
          <w:sz w:val="18"/>
          <w:szCs w:val="18"/>
          <w:lang w:val="en-GB"/>
        </w:rPr>
        <w:t xml:space="preserve"> France Agrimer, 2010, see above.</w:t>
      </w:r>
    </w:p>
  </w:footnote>
  <w:footnote w:id="44">
    <w:p w:rsidR="00F7433D" w:rsidRPr="00481B07" w:rsidRDefault="00F7433D" w:rsidP="00C045D6">
      <w:pPr>
        <w:pStyle w:val="FootnoteText"/>
        <w:jc w:val="left"/>
        <w:rPr>
          <w:sz w:val="18"/>
          <w:szCs w:val="18"/>
          <w:lang w:val="nl-NL"/>
        </w:rPr>
      </w:pPr>
      <w:r w:rsidRPr="00481B07">
        <w:rPr>
          <w:rStyle w:val="FootnoteReference"/>
          <w:sz w:val="18"/>
          <w:szCs w:val="18"/>
        </w:rPr>
        <w:footnoteRef/>
      </w:r>
      <w:r w:rsidRPr="00481B07">
        <w:rPr>
          <w:sz w:val="18"/>
          <w:szCs w:val="18"/>
          <w:lang w:val="en-GB"/>
        </w:rPr>
        <w:t xml:space="preserve"> </w:t>
      </w:r>
      <w:r w:rsidRPr="00481B07">
        <w:rPr>
          <w:sz w:val="18"/>
          <w:szCs w:val="18"/>
          <w:lang w:val="nl-NL"/>
        </w:rPr>
        <w:t>JRC STECF (2013), The economic performance of the EU aquaculture sector, p25</w:t>
      </w:r>
    </w:p>
  </w:footnote>
  <w:footnote w:id="45">
    <w:p w:rsidR="00F7433D" w:rsidRPr="00481B07" w:rsidRDefault="00F7433D" w:rsidP="00C045D6">
      <w:pPr>
        <w:pStyle w:val="FootnoteText"/>
        <w:jc w:val="left"/>
        <w:rPr>
          <w:sz w:val="18"/>
          <w:szCs w:val="18"/>
          <w:lang w:val="en-GB"/>
        </w:rPr>
      </w:pPr>
      <w:r w:rsidRPr="00481B07">
        <w:rPr>
          <w:rStyle w:val="FootnoteReference"/>
          <w:sz w:val="18"/>
          <w:szCs w:val="18"/>
        </w:rPr>
        <w:footnoteRef/>
      </w:r>
      <w:r w:rsidRPr="00481B07">
        <w:rPr>
          <w:sz w:val="18"/>
          <w:szCs w:val="18"/>
          <w:lang w:val="en-GB"/>
        </w:rPr>
        <w:t xml:space="preserve"> France Agrimer, 2013. More information : http://www.franceagrimer.fr/content/download/23162/191443/file/broch%20pêche%20A4%20enDEF.pdf</w:t>
      </w:r>
    </w:p>
  </w:footnote>
  <w:footnote w:id="46">
    <w:p w:rsidR="00F7433D" w:rsidRPr="00DE1BAC" w:rsidRDefault="00F7433D" w:rsidP="00A472D7">
      <w:pPr>
        <w:pStyle w:val="FootnoteText"/>
        <w:jc w:val="left"/>
        <w:rPr>
          <w:sz w:val="18"/>
          <w:szCs w:val="18"/>
          <w:lang w:val="en-GB"/>
        </w:rPr>
      </w:pPr>
      <w:r w:rsidRPr="00A472D7">
        <w:rPr>
          <w:rStyle w:val="FootnoteReference"/>
          <w:sz w:val="18"/>
          <w:szCs w:val="18"/>
        </w:rPr>
        <w:footnoteRef/>
      </w:r>
      <w:r w:rsidRPr="00A472D7">
        <w:rPr>
          <w:sz w:val="18"/>
          <w:szCs w:val="18"/>
          <w:lang w:val="en-GB"/>
        </w:rPr>
        <w:t xml:space="preserve"> No detailed information was found on fin fish.</w:t>
      </w:r>
      <w:r w:rsidRPr="00DE1BAC">
        <w:rPr>
          <w:sz w:val="18"/>
          <w:szCs w:val="18"/>
          <w:lang w:val="en-GB"/>
        </w:rPr>
        <w:t xml:space="preserve"> </w:t>
      </w:r>
      <w:r w:rsidRPr="00A472D7">
        <w:rPr>
          <w:sz w:val="18"/>
          <w:szCs w:val="18"/>
          <w:lang w:val="en-GB"/>
        </w:rPr>
        <w:t xml:space="preserve">For more information : </w:t>
      </w:r>
    </w:p>
    <w:p w:rsidR="00F7433D" w:rsidRPr="00A472D7" w:rsidRDefault="00F7433D" w:rsidP="00A472D7">
      <w:pPr>
        <w:pStyle w:val="FootnoteText"/>
        <w:jc w:val="left"/>
        <w:rPr>
          <w:sz w:val="18"/>
          <w:szCs w:val="18"/>
          <w:lang w:val="en-GB"/>
        </w:rPr>
      </w:pPr>
      <w:r w:rsidRPr="00A472D7">
        <w:rPr>
          <w:sz w:val="18"/>
          <w:szCs w:val="18"/>
          <w:lang w:val="en-GB"/>
        </w:rPr>
        <w:t>http://www.developpement-</w:t>
      </w:r>
      <w:r w:rsidRPr="00DE1BAC">
        <w:rPr>
          <w:sz w:val="18"/>
          <w:szCs w:val="18"/>
          <w:lang w:val="en-GB"/>
        </w:rPr>
        <w:t>d</w:t>
      </w:r>
      <w:r w:rsidRPr="00A472D7">
        <w:rPr>
          <w:sz w:val="18"/>
          <w:szCs w:val="18"/>
          <w:lang w:val="en-GB"/>
        </w:rPr>
        <w:t>urable.gouv.fr/IMG/pdf/Chiffres_cle_peche.pdf</w:t>
      </w:r>
    </w:p>
  </w:footnote>
  <w:footnote w:id="47">
    <w:p w:rsidR="00F7433D" w:rsidRPr="00DE1BAC" w:rsidRDefault="00F7433D" w:rsidP="00C045D6">
      <w:pPr>
        <w:pStyle w:val="FootnoteText"/>
        <w:jc w:val="left"/>
        <w:rPr>
          <w:sz w:val="18"/>
          <w:szCs w:val="18"/>
          <w:lang w:val="fr-BE"/>
        </w:rPr>
      </w:pPr>
      <w:r w:rsidRPr="00DE1BAC">
        <w:rPr>
          <w:rStyle w:val="FootnoteReference"/>
          <w:sz w:val="18"/>
          <w:szCs w:val="18"/>
        </w:rPr>
        <w:footnoteRef/>
      </w:r>
      <w:r w:rsidRPr="00DE1BAC">
        <w:rPr>
          <w:sz w:val="18"/>
          <w:szCs w:val="18"/>
        </w:rPr>
        <w:t xml:space="preserve"> </w:t>
      </w:r>
      <w:r w:rsidRPr="00DE1BAC">
        <w:rPr>
          <w:sz w:val="18"/>
          <w:szCs w:val="18"/>
          <w:lang w:val="fr-BE"/>
        </w:rPr>
        <w:t>Ministère du développement durable, 2011.</w:t>
      </w:r>
    </w:p>
  </w:footnote>
  <w:footnote w:id="48">
    <w:p w:rsidR="00F7433D" w:rsidRPr="00A472D7" w:rsidRDefault="00F7433D" w:rsidP="00C045D6">
      <w:pPr>
        <w:pStyle w:val="FootnoteText"/>
        <w:rPr>
          <w:sz w:val="18"/>
          <w:szCs w:val="18"/>
          <w:lang w:val="fr-BE"/>
        </w:rPr>
      </w:pPr>
      <w:r w:rsidRPr="00A472D7">
        <w:rPr>
          <w:rStyle w:val="FootnoteReference"/>
          <w:sz w:val="18"/>
          <w:szCs w:val="18"/>
        </w:rPr>
        <w:footnoteRef/>
      </w:r>
      <w:r w:rsidRPr="00A472D7">
        <w:rPr>
          <w:sz w:val="18"/>
          <w:szCs w:val="18"/>
        </w:rPr>
        <w:t xml:space="preserve"> http://www.netalgae.eu/uploadedfiles/Rapport_WP1_FR_1.pdf</w:t>
      </w:r>
    </w:p>
  </w:footnote>
  <w:footnote w:id="49">
    <w:p w:rsidR="00F7433D" w:rsidRPr="00EE6C34" w:rsidRDefault="00F7433D" w:rsidP="00A472D7">
      <w:pPr>
        <w:pStyle w:val="FootnoteText"/>
        <w:jc w:val="left"/>
        <w:rPr>
          <w:sz w:val="18"/>
          <w:szCs w:val="18"/>
        </w:rPr>
      </w:pPr>
      <w:r w:rsidRPr="00A472D7">
        <w:rPr>
          <w:rStyle w:val="FootnoteReference"/>
          <w:sz w:val="18"/>
          <w:szCs w:val="18"/>
        </w:rPr>
        <w:footnoteRef/>
      </w:r>
      <w:r w:rsidRPr="00A472D7">
        <w:rPr>
          <w:sz w:val="18"/>
          <w:szCs w:val="18"/>
          <w:lang w:val="en-GB"/>
        </w:rPr>
        <w:t xml:space="preserve"> We understand blue </w:t>
      </w:r>
      <w:r w:rsidRPr="00DE1BAC">
        <w:rPr>
          <w:sz w:val="18"/>
          <w:szCs w:val="18"/>
          <w:lang w:val="en-GB"/>
        </w:rPr>
        <w:t>b</w:t>
      </w:r>
      <w:r w:rsidRPr="00A472D7">
        <w:rPr>
          <w:sz w:val="18"/>
          <w:szCs w:val="18"/>
          <w:lang w:val="en-GB"/>
        </w:rPr>
        <w:t xml:space="preserve">iotechnology as the use of wild and farmed aquatic living resources as precursors of bio-molecules used for high value products (health, cosmetics, etc.). It is about unravelling the potential of the biodiversity of a specific earth compartment for the benefit of the rest of the economy. </w:t>
      </w:r>
      <w:r w:rsidRPr="00EE6C34">
        <w:rPr>
          <w:sz w:val="18"/>
          <w:szCs w:val="18"/>
        </w:rPr>
        <w:t>Source : https://webgate.ec.europa.eu/maritimeforum/system/files/Blue%20Growth%20Final%20Report%2013092012.pdf</w:t>
      </w:r>
    </w:p>
  </w:footnote>
  <w:footnote w:id="50">
    <w:p w:rsidR="00F7433D" w:rsidRPr="00EE6C34" w:rsidRDefault="00F7433D" w:rsidP="00FB1D0C">
      <w:pPr>
        <w:pStyle w:val="FootnoteText"/>
        <w:jc w:val="left"/>
        <w:rPr>
          <w:sz w:val="18"/>
          <w:szCs w:val="18"/>
        </w:rPr>
      </w:pPr>
      <w:r w:rsidRPr="00DE1BAC">
        <w:rPr>
          <w:rStyle w:val="FootnoteReference"/>
          <w:sz w:val="18"/>
          <w:szCs w:val="18"/>
        </w:rPr>
        <w:footnoteRef/>
      </w:r>
      <w:r w:rsidRPr="00EE6C34">
        <w:rPr>
          <w:sz w:val="18"/>
          <w:szCs w:val="18"/>
        </w:rPr>
        <w:t xml:space="preserve"> http://www.cleantechrepublic.com/2009/08/26/biotechnologies-marines-de-belles-perspectives-pour-la-france/</w:t>
      </w:r>
    </w:p>
  </w:footnote>
  <w:footnote w:id="51">
    <w:p w:rsidR="00F7433D" w:rsidRPr="00EC0540" w:rsidRDefault="00F7433D" w:rsidP="00FB1D0C">
      <w:pPr>
        <w:pStyle w:val="FootnoteText"/>
        <w:jc w:val="left"/>
        <w:rPr>
          <w:sz w:val="18"/>
          <w:szCs w:val="18"/>
        </w:rPr>
      </w:pPr>
      <w:r w:rsidRPr="00DE1BAC">
        <w:rPr>
          <w:rStyle w:val="FootnoteReference"/>
          <w:sz w:val="18"/>
          <w:szCs w:val="18"/>
        </w:rPr>
        <w:footnoteRef/>
      </w:r>
      <w:r w:rsidRPr="00EC0540">
        <w:rPr>
          <w:sz w:val="18"/>
          <w:szCs w:val="18"/>
        </w:rPr>
        <w:t xml:space="preserve"> http://www.algohub-roquette.com</w:t>
      </w:r>
    </w:p>
  </w:footnote>
  <w:footnote w:id="52">
    <w:p w:rsidR="00F7433D" w:rsidRPr="00877EDF" w:rsidRDefault="00F7433D">
      <w:pPr>
        <w:pStyle w:val="FootnoteText"/>
        <w:rPr>
          <w:lang w:val="fr-BE"/>
        </w:rPr>
      </w:pPr>
      <w:r>
        <w:rPr>
          <w:rStyle w:val="FootnoteReference"/>
        </w:rPr>
        <w:footnoteRef/>
      </w:r>
      <w:r>
        <w:t xml:space="preserve"> </w:t>
      </w:r>
      <w:r w:rsidRPr="00877EDF">
        <w:rPr>
          <w:sz w:val="18"/>
          <w:szCs w:val="18"/>
        </w:rPr>
        <w:t>http://www.algohub-roquette.com/</w:t>
      </w:r>
    </w:p>
  </w:footnote>
  <w:footnote w:id="53">
    <w:p w:rsidR="00F7433D" w:rsidRPr="00EE6C34" w:rsidRDefault="00F7433D" w:rsidP="00FB1D0C">
      <w:pPr>
        <w:pStyle w:val="FootnoteText"/>
        <w:jc w:val="left"/>
        <w:rPr>
          <w:sz w:val="18"/>
          <w:szCs w:val="18"/>
          <w:lang w:val="en-GB"/>
        </w:rPr>
      </w:pPr>
      <w:r w:rsidRPr="00DE1BAC">
        <w:rPr>
          <w:rStyle w:val="FootnoteReference"/>
          <w:sz w:val="18"/>
          <w:szCs w:val="18"/>
        </w:rPr>
        <w:footnoteRef/>
      </w:r>
      <w:r w:rsidRPr="00DE1BAC">
        <w:rPr>
          <w:sz w:val="18"/>
          <w:szCs w:val="18"/>
          <w:lang w:val="en-GB"/>
        </w:rPr>
        <w:t xml:space="preserve"> We have adopted the following definition: development of agriculture on saline soils, through improving existing crops or adapting salt tolerant plants. </w:t>
      </w:r>
      <w:r w:rsidRPr="00EC0540">
        <w:rPr>
          <w:sz w:val="18"/>
          <w:szCs w:val="18"/>
          <w:lang w:val="en-GB"/>
        </w:rPr>
        <w:t xml:space="preserve">Source : </w:t>
      </w:r>
      <w:r w:rsidRPr="00EC0540">
        <w:rPr>
          <w:sz w:val="18"/>
          <w:lang w:val="en-GB"/>
        </w:rPr>
        <w:t>https://webgate.ec.europa.eu/maritimeforum/system/files/Blue%20Growth%20Final%20Report%2013092012.pdf</w:t>
      </w:r>
      <w:r w:rsidRPr="00EC0540">
        <w:rPr>
          <w:sz w:val="18"/>
          <w:szCs w:val="18"/>
          <w:lang w:val="en-GB"/>
        </w:rPr>
        <w:t xml:space="preserve">. </w:t>
      </w:r>
      <w:r w:rsidRPr="00EE6C34">
        <w:rPr>
          <w:sz w:val="18"/>
          <w:szCs w:val="18"/>
          <w:lang w:val="en-GB"/>
        </w:rPr>
        <w:t>For more information, see the methodology section in Annex [xx]</w:t>
      </w:r>
    </w:p>
  </w:footnote>
  <w:footnote w:id="54">
    <w:p w:rsidR="00F7433D" w:rsidRPr="00A472D7" w:rsidRDefault="00F7433D" w:rsidP="00FB1D0C">
      <w:pPr>
        <w:pStyle w:val="FootnoteText"/>
        <w:rPr>
          <w:sz w:val="18"/>
          <w:szCs w:val="18"/>
          <w:lang w:val="en-GB"/>
        </w:rPr>
      </w:pPr>
      <w:r w:rsidRPr="00A472D7">
        <w:rPr>
          <w:rStyle w:val="FootnoteReference"/>
          <w:sz w:val="18"/>
          <w:szCs w:val="18"/>
        </w:rPr>
        <w:footnoteRef/>
      </w:r>
      <w:r w:rsidRPr="00A472D7">
        <w:rPr>
          <w:sz w:val="18"/>
          <w:szCs w:val="18"/>
          <w:lang w:val="en-GB"/>
        </w:rPr>
        <w:t xml:space="preserve"> Due to limitations in data availibility, it is not possible to provide a sector’s performance.</w:t>
      </w:r>
    </w:p>
  </w:footnote>
  <w:footnote w:id="55">
    <w:p w:rsidR="00F7433D" w:rsidRPr="003D46EA" w:rsidRDefault="00F7433D" w:rsidP="00FB1D0C">
      <w:pPr>
        <w:pStyle w:val="FootnoteText"/>
        <w:jc w:val="left"/>
        <w:rPr>
          <w:sz w:val="18"/>
          <w:szCs w:val="18"/>
          <w:lang w:val="nl-NL"/>
        </w:rPr>
      </w:pPr>
      <w:r w:rsidRPr="00DE1BAC">
        <w:rPr>
          <w:rStyle w:val="FootnoteReference"/>
          <w:sz w:val="18"/>
          <w:szCs w:val="18"/>
        </w:rPr>
        <w:footnoteRef/>
      </w:r>
      <w:r w:rsidRPr="00DE1BAC">
        <w:rPr>
          <w:sz w:val="18"/>
          <w:szCs w:val="18"/>
          <w:lang w:val="nl-NL"/>
        </w:rPr>
        <w:t xml:space="preserve"> http://eusoils.jrc.ec.europa.eu/library/themes/Salinization/Resources/salinisation.pdf</w:t>
      </w:r>
    </w:p>
  </w:footnote>
  <w:footnote w:id="56">
    <w:p w:rsidR="00F7433D" w:rsidRPr="003D46EA" w:rsidRDefault="00F7433D" w:rsidP="00FB1D0C">
      <w:pPr>
        <w:pStyle w:val="FootnoteText"/>
        <w:jc w:val="left"/>
        <w:rPr>
          <w:sz w:val="18"/>
          <w:szCs w:val="18"/>
          <w:lang w:val="nl-NL"/>
        </w:rPr>
      </w:pPr>
      <w:r w:rsidRPr="003D46EA">
        <w:rPr>
          <w:rStyle w:val="FootnoteReference"/>
          <w:sz w:val="18"/>
          <w:szCs w:val="18"/>
        </w:rPr>
        <w:footnoteRef/>
      </w:r>
      <w:r w:rsidRPr="003D46EA">
        <w:rPr>
          <w:sz w:val="18"/>
          <w:szCs w:val="18"/>
          <w:lang w:val="nl-NL"/>
        </w:rPr>
        <w:t xml:space="preserve"> http://www.ifmer.org/assets/documents/files/documents_ifm/3--Offshore-en-Mediterranee.pdf</w:t>
      </w:r>
    </w:p>
  </w:footnote>
  <w:footnote w:id="57">
    <w:p w:rsidR="00F7433D" w:rsidRPr="003D46EA" w:rsidRDefault="00F7433D" w:rsidP="00FB1D0C">
      <w:pPr>
        <w:pStyle w:val="FootnoteText"/>
        <w:jc w:val="left"/>
        <w:rPr>
          <w:sz w:val="18"/>
          <w:szCs w:val="18"/>
          <w:lang w:val="nl-NL"/>
        </w:rPr>
      </w:pPr>
      <w:r w:rsidRPr="003D46EA">
        <w:rPr>
          <w:rStyle w:val="FootnoteReference"/>
          <w:sz w:val="18"/>
          <w:szCs w:val="18"/>
        </w:rPr>
        <w:footnoteRef/>
      </w:r>
      <w:r w:rsidRPr="003D46EA">
        <w:rPr>
          <w:sz w:val="18"/>
          <w:szCs w:val="18"/>
          <w:lang w:val="nl-NL"/>
        </w:rPr>
        <w:t xml:space="preserve"> http://www.ifmer.org/assets/documents/files/lu_presse/9997JRVallat42009.PDF</w:t>
      </w:r>
    </w:p>
  </w:footnote>
  <w:footnote w:id="58">
    <w:p w:rsidR="00F7433D" w:rsidRPr="003D46EA" w:rsidRDefault="00F7433D" w:rsidP="00FB1D0C">
      <w:pPr>
        <w:pStyle w:val="FootnoteText"/>
        <w:jc w:val="left"/>
        <w:rPr>
          <w:sz w:val="18"/>
          <w:szCs w:val="18"/>
          <w:lang w:val="nl-NL"/>
        </w:rPr>
      </w:pPr>
      <w:r w:rsidRPr="003D46EA">
        <w:rPr>
          <w:rStyle w:val="FootnoteReference"/>
          <w:sz w:val="18"/>
          <w:szCs w:val="18"/>
        </w:rPr>
        <w:footnoteRef/>
      </w:r>
      <w:r w:rsidRPr="003D46EA">
        <w:rPr>
          <w:sz w:val="18"/>
          <w:szCs w:val="18"/>
          <w:lang w:val="nl-NL"/>
        </w:rPr>
        <w:t xml:space="preserve"> https://wwz.ifremer.fr/dcsmm/content/download/53111/753382/version/1/file/AES_Activites_parapetrolieres_GDG_V2bis.pdf</w:t>
      </w:r>
    </w:p>
  </w:footnote>
  <w:footnote w:id="59">
    <w:p w:rsidR="00F7433D" w:rsidRPr="003D46EA" w:rsidRDefault="00F7433D" w:rsidP="00FB1D0C">
      <w:pPr>
        <w:pStyle w:val="FootnoteText"/>
        <w:jc w:val="left"/>
        <w:rPr>
          <w:sz w:val="18"/>
          <w:szCs w:val="18"/>
          <w:lang w:val="nl-NL"/>
        </w:rPr>
      </w:pPr>
      <w:r w:rsidRPr="003D46EA">
        <w:rPr>
          <w:rStyle w:val="FootnoteReference"/>
          <w:sz w:val="18"/>
          <w:szCs w:val="18"/>
        </w:rPr>
        <w:footnoteRef/>
      </w:r>
      <w:r w:rsidRPr="003D46EA">
        <w:rPr>
          <w:sz w:val="18"/>
          <w:szCs w:val="18"/>
          <w:lang w:val="nl-NL"/>
        </w:rPr>
        <w:t xml:space="preserve"> http://www.agr.com/case%20studies/well/09-WE-028%20rev1sm.pdf</w:t>
      </w:r>
    </w:p>
  </w:footnote>
  <w:footnote w:id="60">
    <w:p w:rsidR="00F7433D" w:rsidRPr="003D46EA" w:rsidRDefault="00F7433D" w:rsidP="00FB1D0C">
      <w:pPr>
        <w:pStyle w:val="FootnoteText"/>
        <w:jc w:val="left"/>
        <w:rPr>
          <w:sz w:val="18"/>
          <w:szCs w:val="18"/>
          <w:lang w:val="fr-BE"/>
        </w:rPr>
      </w:pPr>
      <w:r w:rsidRPr="003D46EA">
        <w:rPr>
          <w:rStyle w:val="FootnoteReference"/>
          <w:sz w:val="18"/>
          <w:szCs w:val="18"/>
        </w:rPr>
        <w:footnoteRef/>
      </w:r>
      <w:r w:rsidRPr="003D46EA">
        <w:rPr>
          <w:sz w:val="18"/>
          <w:szCs w:val="18"/>
          <w:lang w:val="en-GB"/>
        </w:rPr>
        <w:t xml:space="preserve"> IFP Energies Nouvelles points out to the great potential of France’s oversea territory French Guyana for deep offshore activities. </w:t>
      </w:r>
      <w:r w:rsidRPr="003D46EA">
        <w:rPr>
          <w:sz w:val="18"/>
          <w:szCs w:val="18"/>
          <w:lang w:val="fr-BE"/>
        </w:rPr>
        <w:t xml:space="preserve">For more information : IFP Energies Nouvelles, 2012, ‘Offshore Hydrocarbons’ </w:t>
      </w:r>
      <w:r w:rsidRPr="003D46EA">
        <w:rPr>
          <w:i/>
          <w:sz w:val="18"/>
          <w:szCs w:val="18"/>
          <w:lang w:val="fr-BE"/>
        </w:rPr>
        <w:t>in</w:t>
      </w:r>
      <w:r w:rsidRPr="003D46EA">
        <w:rPr>
          <w:sz w:val="18"/>
          <w:szCs w:val="18"/>
          <w:lang w:val="fr-BE"/>
        </w:rPr>
        <w:t xml:space="preserve"> ‘Panorama 2012’</w:t>
      </w:r>
    </w:p>
  </w:footnote>
  <w:footnote w:id="61">
    <w:p w:rsidR="00F7433D" w:rsidRPr="003D46EA" w:rsidRDefault="00F7433D" w:rsidP="00FB1D0C">
      <w:pPr>
        <w:pStyle w:val="FootnoteText"/>
        <w:jc w:val="left"/>
        <w:rPr>
          <w:sz w:val="18"/>
          <w:szCs w:val="18"/>
          <w:lang w:val="fr-BE"/>
        </w:rPr>
      </w:pPr>
      <w:r w:rsidRPr="003D46EA">
        <w:rPr>
          <w:rStyle w:val="FootnoteReference"/>
          <w:sz w:val="18"/>
          <w:szCs w:val="18"/>
        </w:rPr>
        <w:footnoteRef/>
      </w:r>
      <w:r w:rsidRPr="003D46EA">
        <w:rPr>
          <w:sz w:val="18"/>
          <w:szCs w:val="18"/>
        </w:rPr>
        <w:t xml:space="preserve"> </w:t>
      </w:r>
      <w:r w:rsidRPr="003D46EA">
        <w:rPr>
          <w:sz w:val="18"/>
          <w:szCs w:val="18"/>
          <w:lang w:val="fr-BE"/>
        </w:rPr>
        <w:t>Le Cluster Maritime Français, 2010. http://www.cluster-maritime.fr/article.php?id=13&amp;lang=Fr</w:t>
      </w:r>
    </w:p>
  </w:footnote>
  <w:footnote w:id="62">
    <w:p w:rsidR="00F7433D" w:rsidRPr="003D46EA" w:rsidRDefault="00F7433D" w:rsidP="00FB1D0C">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Officially launched on 27 February 2009 and following the 2007 ‘Grenelle de l’Environnement’, the ‘Grenelle de la Mer’ has brought together members of the Government, local authorities, environmental groups and private companies to push forward a sustainable marine national strategy. </w:t>
      </w:r>
    </w:p>
  </w:footnote>
  <w:footnote w:id="63">
    <w:p w:rsidR="00F7433D" w:rsidRPr="00A949AB" w:rsidRDefault="00F7433D" w:rsidP="00FB1D0C">
      <w:pPr>
        <w:pStyle w:val="FootnoteText"/>
        <w:rPr>
          <w:lang w:val="en-GB"/>
        </w:rPr>
      </w:pPr>
      <w:r>
        <w:rPr>
          <w:rStyle w:val="FootnoteReference"/>
        </w:rPr>
        <w:footnoteRef/>
      </w:r>
      <w:r w:rsidRPr="00A949AB">
        <w:rPr>
          <w:lang w:val="en-GB"/>
        </w:rPr>
        <w:t xml:space="preserve"> </w:t>
      </w:r>
      <w:r w:rsidRPr="00A949AB">
        <w:rPr>
          <w:sz w:val="18"/>
          <w:szCs w:val="18"/>
          <w:lang w:val="en-GB"/>
        </w:rPr>
        <w:t>http://renewables.seenews.com/news/french-association-sees-offshore-wind-power-potential-at-15-000-mw-by-2030-362303</w:t>
      </w:r>
    </w:p>
  </w:footnote>
  <w:footnote w:id="64">
    <w:p w:rsidR="00F7433D" w:rsidRPr="00A949AB" w:rsidRDefault="00F7433D" w:rsidP="00FB1D0C">
      <w:pPr>
        <w:pStyle w:val="FootnoteText"/>
        <w:rPr>
          <w:lang w:val="en-GB"/>
        </w:rPr>
      </w:pPr>
      <w:r>
        <w:rPr>
          <w:rStyle w:val="FootnoteReference"/>
        </w:rPr>
        <w:footnoteRef/>
      </w:r>
      <w:r w:rsidRPr="00A949AB">
        <w:rPr>
          <w:sz w:val="18"/>
          <w:szCs w:val="18"/>
          <w:lang w:val="en-GB"/>
        </w:rPr>
        <w:t>http://renewables.seenews.com/news/french-association-sees-offshore-wind-power-potential-at-15-000-mw-by-2030-362303</w:t>
      </w:r>
    </w:p>
  </w:footnote>
  <w:footnote w:id="65">
    <w:p w:rsidR="00F7433D" w:rsidRPr="003D46EA" w:rsidRDefault="00F7433D" w:rsidP="00FB1D0C">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Area Tréport (Somme) has not been assigned to the consortium led by GDF Suez, the only bidder. The proposed project purchase price of electricity was considered too high. In this area, the "price of a wind power project" (study cost, implementation, operation and decommissioning of the plant) was estimated in the specifications between 115 € and 175 € / MWh.</w:t>
      </w:r>
    </w:p>
  </w:footnote>
  <w:footnote w:id="66">
    <w:p w:rsidR="00F7433D" w:rsidRPr="00EE6C34" w:rsidRDefault="00F7433D">
      <w:pPr>
        <w:pStyle w:val="FootnoteText"/>
        <w:rPr>
          <w:sz w:val="18"/>
          <w:szCs w:val="18"/>
          <w:lang w:val="en-GB"/>
        </w:rPr>
      </w:pPr>
      <w:r w:rsidRPr="00A472D7">
        <w:rPr>
          <w:rStyle w:val="FootnoteReference"/>
          <w:sz w:val="18"/>
          <w:szCs w:val="18"/>
        </w:rPr>
        <w:footnoteRef/>
      </w:r>
      <w:r w:rsidRPr="00EE6C34">
        <w:rPr>
          <w:sz w:val="18"/>
          <w:szCs w:val="18"/>
          <w:lang w:val="en-GB"/>
        </w:rPr>
        <w:t xml:space="preserve"> For more information, see the 2013 ‘Study in Support of Impact Assessment Work for Ocean Energy’ commissioned by DG MARE to a consortium led by Ecorys. </w:t>
      </w:r>
    </w:p>
  </w:footnote>
  <w:footnote w:id="67">
    <w:p w:rsidR="00F7433D" w:rsidRPr="00A949AB" w:rsidRDefault="00F7433D" w:rsidP="00FB1D0C">
      <w:pPr>
        <w:pStyle w:val="FootnoteText"/>
        <w:rPr>
          <w:sz w:val="18"/>
          <w:szCs w:val="18"/>
          <w:lang w:val="en-GB"/>
        </w:rPr>
      </w:pPr>
      <w:r w:rsidRPr="00A949AB">
        <w:rPr>
          <w:rStyle w:val="FootnoteReference"/>
          <w:sz w:val="18"/>
          <w:szCs w:val="18"/>
        </w:rPr>
        <w:footnoteRef/>
      </w:r>
      <w:r w:rsidRPr="00A949AB">
        <w:rPr>
          <w:sz w:val="18"/>
          <w:szCs w:val="18"/>
          <w:lang w:val="en-GB"/>
        </w:rPr>
        <w:t xml:space="preserve"> http://www.wyretidalenergy.com/tidal-barrage/la-rance-barrage</w:t>
      </w:r>
    </w:p>
  </w:footnote>
  <w:footnote w:id="68">
    <w:p w:rsidR="00F7433D" w:rsidRPr="00EE6C34" w:rsidRDefault="00F7433D">
      <w:pPr>
        <w:pStyle w:val="FootnoteText"/>
        <w:rPr>
          <w:sz w:val="18"/>
          <w:szCs w:val="18"/>
          <w:lang w:val="en-GB"/>
        </w:rPr>
      </w:pPr>
      <w:r w:rsidRPr="00A472D7">
        <w:rPr>
          <w:rStyle w:val="FootnoteReference"/>
          <w:sz w:val="18"/>
          <w:szCs w:val="18"/>
        </w:rPr>
        <w:footnoteRef/>
      </w:r>
      <w:r w:rsidRPr="00EE6C34">
        <w:rPr>
          <w:sz w:val="18"/>
          <w:szCs w:val="18"/>
          <w:lang w:val="en-GB"/>
        </w:rPr>
        <w:t xml:space="preserve"> Study in Support of Impact Assessment Work for Ocean Energy (2013).</w:t>
      </w:r>
    </w:p>
  </w:footnote>
  <w:footnote w:id="69">
    <w:p w:rsidR="00F7433D" w:rsidRPr="003D46EA" w:rsidRDefault="00F7433D" w:rsidP="00FB1D0C">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In 2007-2008, IFREMER explored the share that each ocean renewable energy could have in the total energy production in France. Further information can be found here :  http://www.ifremer.fr/dtmsi/colloques/seatech04/mp/article/1.contexte/1.1.ECRIN-OPECST.pdf</w:t>
      </w:r>
    </w:p>
  </w:footnote>
  <w:footnote w:id="70">
    <w:p w:rsidR="00F7433D" w:rsidRPr="00A949AB" w:rsidRDefault="00F7433D" w:rsidP="00FB1D0C">
      <w:pPr>
        <w:pStyle w:val="FootnoteText"/>
        <w:rPr>
          <w:sz w:val="18"/>
          <w:szCs w:val="18"/>
          <w:lang w:val="en-GB"/>
        </w:rPr>
      </w:pPr>
      <w:r w:rsidRPr="00A949AB">
        <w:rPr>
          <w:rStyle w:val="FootnoteReference"/>
          <w:sz w:val="18"/>
          <w:szCs w:val="18"/>
        </w:rPr>
        <w:footnoteRef/>
      </w:r>
      <w:r w:rsidRPr="00A949AB">
        <w:rPr>
          <w:sz w:val="18"/>
          <w:szCs w:val="18"/>
          <w:lang w:val="en-GB"/>
        </w:rPr>
        <w:t xml:space="preserve"> Officially launched on 27 February 2009 and following the 2007 ‘Grenelle de l’Environnement’, the ‘Grenelle de la Mer’ has brought together members of the Government, local authorities, environmental groups and private companies to push forward a sustainable marine national strategy. For more information : http://www.developpement-durable.gouv.fr/-Le-Grenelle-de-la-mer-de-2009-a,6309-.html</w:t>
      </w:r>
    </w:p>
  </w:footnote>
  <w:footnote w:id="71">
    <w:p w:rsidR="00F7433D" w:rsidRPr="003D46EA" w:rsidRDefault="00F7433D" w:rsidP="00FB1D0C">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http://www.developpement-durable.gouv.fr/-Le-Grenelle-de-la-mer-de-2009-a,6309-.html</w:t>
      </w:r>
    </w:p>
  </w:footnote>
  <w:footnote w:id="72">
    <w:p w:rsidR="00F7433D" w:rsidRPr="003D46EA" w:rsidRDefault="00F7433D" w:rsidP="00FB1D0C">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http://www2.ademe.fr/servlet/getDoc?id=11433&amp;m=3&amp;cid=96</w:t>
      </w:r>
    </w:p>
  </w:footnote>
  <w:footnote w:id="73">
    <w:p w:rsidR="00F7433D" w:rsidRPr="003D46EA" w:rsidRDefault="00F7433D" w:rsidP="00FB1D0C">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http://www2.ademe.fr/servlet/getDoc?id=11433&amp;m=3&amp;cid=96</w:t>
      </w:r>
    </w:p>
  </w:footnote>
  <w:footnote w:id="74">
    <w:p w:rsidR="00F7433D" w:rsidRPr="003D46EA" w:rsidRDefault="00F7433D" w:rsidP="00FB1D0C">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Ifremer,2011. For more information : http://wwz.ifremer.fr/drogm/Ressources-minerales/Materiaux-marins/Economie/Donnees-economiques</w:t>
      </w:r>
    </w:p>
  </w:footnote>
  <w:footnote w:id="75">
    <w:p w:rsidR="00F7433D" w:rsidRPr="002D578F" w:rsidRDefault="00F7433D">
      <w:pPr>
        <w:pStyle w:val="FootnoteText"/>
        <w:rPr>
          <w:sz w:val="18"/>
          <w:szCs w:val="18"/>
          <w:lang w:val="en-GB"/>
        </w:rPr>
      </w:pPr>
      <w:r>
        <w:rPr>
          <w:rStyle w:val="FootnoteReference"/>
        </w:rPr>
        <w:footnoteRef/>
      </w:r>
      <w:r w:rsidRPr="002D578F">
        <w:rPr>
          <w:lang w:val="en-GB"/>
        </w:rPr>
        <w:t xml:space="preserve"> </w:t>
      </w:r>
      <w:r w:rsidRPr="002D578F">
        <w:rPr>
          <w:sz w:val="18"/>
          <w:szCs w:val="18"/>
          <w:lang w:val="en-GB"/>
        </w:rPr>
        <w:t>http://wwz.ifremer.fr/content/download/60853/830810/file/fiche%20ressources%20min%C3%A9rales.pdf</w:t>
      </w:r>
    </w:p>
  </w:footnote>
  <w:footnote w:id="76">
    <w:p w:rsidR="00F7433D" w:rsidRPr="002D578F" w:rsidRDefault="00F7433D">
      <w:pPr>
        <w:pStyle w:val="FootnoteText"/>
        <w:rPr>
          <w:lang w:val="en-GB"/>
        </w:rPr>
      </w:pPr>
      <w:r w:rsidRPr="00877EDF">
        <w:rPr>
          <w:rStyle w:val="FootnoteReference"/>
          <w:sz w:val="18"/>
          <w:szCs w:val="18"/>
        </w:rPr>
        <w:footnoteRef/>
      </w:r>
      <w:r w:rsidRPr="002D578F">
        <w:rPr>
          <w:sz w:val="18"/>
          <w:szCs w:val="18"/>
          <w:lang w:val="en-GB"/>
        </w:rPr>
        <w:t xml:space="preserve"> </w:t>
      </w:r>
      <w:r w:rsidRPr="002D578F">
        <w:rPr>
          <w:i/>
          <w:sz w:val="18"/>
          <w:szCs w:val="18"/>
          <w:lang w:val="en-GB"/>
        </w:rPr>
        <w:t>Ibid.</w:t>
      </w:r>
    </w:p>
  </w:footnote>
  <w:footnote w:id="77">
    <w:p w:rsidR="00F7433D" w:rsidRPr="003D46EA" w:rsidRDefault="00F7433D" w:rsidP="00FB1D0C">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Ifremer, 2011. For more information : http://wwz.ifremer.fr/content/download/60853/830810/file/fiche%20ressources%20min%C3%A9rales.pdf</w:t>
      </w:r>
    </w:p>
  </w:footnote>
  <w:footnote w:id="78">
    <w:p w:rsidR="00F7433D" w:rsidRPr="003D46EA" w:rsidRDefault="00F7433D" w:rsidP="00FB1D0C">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http://www.actu-environnement.com/ae/dossiers/nouvelles-ressources-eau/dessalement.php</w:t>
      </w:r>
    </w:p>
  </w:footnote>
  <w:footnote w:id="79">
    <w:p w:rsidR="00F7433D" w:rsidRPr="00EE6C34" w:rsidRDefault="00F7433D" w:rsidP="000706EA">
      <w:pPr>
        <w:pStyle w:val="FootnoteText"/>
        <w:jc w:val="left"/>
        <w:rPr>
          <w:lang w:val="en-GB"/>
        </w:rPr>
      </w:pPr>
      <w:r w:rsidRPr="00877EDF">
        <w:rPr>
          <w:rStyle w:val="FootnoteReference"/>
          <w:sz w:val="18"/>
          <w:szCs w:val="18"/>
        </w:rPr>
        <w:footnoteRef/>
      </w:r>
      <w:r w:rsidRPr="00877EDF">
        <w:rPr>
          <w:sz w:val="18"/>
          <w:szCs w:val="18"/>
          <w:lang w:val="en-GB"/>
        </w:rPr>
        <w:t xml:space="preserve"> This seems to be the geographical level chosen by French public authorities for providing data on coastal areas. As seen in the General Overview section, coastal municipalities are also referred to by the French national institute for statistics (INSEE)</w:t>
      </w:r>
      <w:r>
        <w:rPr>
          <w:sz w:val="18"/>
          <w:szCs w:val="18"/>
          <w:lang w:val="en-GB"/>
        </w:rPr>
        <w:t xml:space="preserve"> concerning the French coastal population</w:t>
      </w:r>
      <w:r w:rsidRPr="00993BA3">
        <w:rPr>
          <w:sz w:val="18"/>
          <w:szCs w:val="18"/>
          <w:lang w:val="en-GB"/>
        </w:rPr>
        <w:t xml:space="preserve">. The institute makes reference to </w:t>
      </w:r>
      <w:r w:rsidRPr="00877EDF">
        <w:rPr>
          <w:sz w:val="18"/>
          <w:szCs w:val="18"/>
          <w:lang w:val="en-GB"/>
        </w:rPr>
        <w:t xml:space="preserve">the French Coastal Act of 1986, in which coastal </w:t>
      </w:r>
      <w:r w:rsidRPr="00993BA3">
        <w:rPr>
          <w:sz w:val="18"/>
          <w:szCs w:val="18"/>
          <w:lang w:val="en-GB"/>
        </w:rPr>
        <w:t xml:space="preserve">municipalities </w:t>
      </w:r>
      <w:r w:rsidRPr="00877EDF">
        <w:rPr>
          <w:sz w:val="18"/>
          <w:szCs w:val="18"/>
          <w:lang w:val="en-GB"/>
        </w:rPr>
        <w:t xml:space="preserve">are defined as towns bordering the ocean, lagoons or estuaries at the transverse limit of the sea. </w:t>
      </w:r>
    </w:p>
  </w:footnote>
  <w:footnote w:id="80">
    <w:p w:rsidR="00F7433D" w:rsidRPr="00A949AB" w:rsidRDefault="00F7433D" w:rsidP="00FF4282">
      <w:pPr>
        <w:pStyle w:val="FootnoteText"/>
        <w:jc w:val="left"/>
        <w:rPr>
          <w:sz w:val="18"/>
          <w:szCs w:val="18"/>
          <w:lang w:val="en-GB"/>
        </w:rPr>
      </w:pPr>
      <w:r w:rsidRPr="00A949AB">
        <w:rPr>
          <w:rStyle w:val="FootnoteReference"/>
          <w:sz w:val="18"/>
          <w:szCs w:val="18"/>
        </w:rPr>
        <w:footnoteRef/>
      </w:r>
      <w:r w:rsidRPr="00A949AB">
        <w:rPr>
          <w:sz w:val="18"/>
          <w:szCs w:val="18"/>
          <w:lang w:val="en-GB"/>
        </w:rPr>
        <w:t xml:space="preserve"> French Ministry of Tourism, 2012</w:t>
      </w:r>
      <w:r>
        <w:rPr>
          <w:sz w:val="18"/>
          <w:szCs w:val="18"/>
          <w:lang w:val="en-GB"/>
        </w:rPr>
        <w:t xml:space="preserve">, available here: </w:t>
      </w:r>
      <w:r w:rsidRPr="00A949AB">
        <w:rPr>
          <w:sz w:val="18"/>
          <w:szCs w:val="18"/>
          <w:lang w:val="en-GB"/>
        </w:rPr>
        <w:t>http://www.dgcis.gouv.fr/files/files/archive/www.tourisme.gouv.fr/territoires/littoral/littoral.html</w:t>
      </w:r>
    </w:p>
  </w:footnote>
  <w:footnote w:id="81">
    <w:p w:rsidR="00F7433D" w:rsidRPr="00A949AB" w:rsidRDefault="00F7433D" w:rsidP="00A472D7">
      <w:pPr>
        <w:pStyle w:val="FootnoteText"/>
        <w:jc w:val="left"/>
        <w:rPr>
          <w:sz w:val="18"/>
          <w:szCs w:val="18"/>
          <w:lang w:val="en-GB"/>
        </w:rPr>
      </w:pPr>
      <w:r w:rsidRPr="00A949AB">
        <w:rPr>
          <w:rStyle w:val="FootnoteReference"/>
          <w:sz w:val="18"/>
          <w:szCs w:val="18"/>
        </w:rPr>
        <w:footnoteRef/>
      </w:r>
      <w:r>
        <w:rPr>
          <w:sz w:val="18"/>
          <w:szCs w:val="18"/>
          <w:lang w:val="en-GB"/>
        </w:rPr>
        <w:t>French t</w:t>
      </w:r>
      <w:r w:rsidRPr="00A949AB">
        <w:rPr>
          <w:sz w:val="18"/>
          <w:szCs w:val="18"/>
          <w:lang w:val="en-GB"/>
        </w:rPr>
        <w:t xml:space="preserve">ourism professionals </w:t>
      </w:r>
      <w:r>
        <w:rPr>
          <w:sz w:val="18"/>
          <w:szCs w:val="18"/>
          <w:lang w:val="en-GB"/>
        </w:rPr>
        <w:t xml:space="preserve">use a geographical breakdown of municipalities differentiating between </w:t>
      </w:r>
      <w:r w:rsidRPr="00A949AB">
        <w:rPr>
          <w:sz w:val="18"/>
          <w:szCs w:val="18"/>
          <w:lang w:val="en-GB"/>
        </w:rPr>
        <w:t>countryside, city, mountains and coastal municipalities</w:t>
      </w:r>
      <w:r>
        <w:rPr>
          <w:sz w:val="18"/>
          <w:szCs w:val="18"/>
          <w:lang w:val="en-GB"/>
        </w:rPr>
        <w:t xml:space="preserve">. </w:t>
      </w:r>
      <w:r w:rsidRPr="00957398">
        <w:rPr>
          <w:sz w:val="18"/>
          <w:szCs w:val="18"/>
          <w:lang w:val="en-GB"/>
        </w:rPr>
        <w:t xml:space="preserve">According to the French Coastal Act of 1986, coastal </w:t>
      </w:r>
      <w:r>
        <w:rPr>
          <w:sz w:val="18"/>
          <w:szCs w:val="18"/>
          <w:lang w:val="en-GB"/>
        </w:rPr>
        <w:t>municipalities</w:t>
      </w:r>
      <w:r w:rsidRPr="00957398">
        <w:rPr>
          <w:sz w:val="18"/>
          <w:szCs w:val="18"/>
          <w:lang w:val="en-GB"/>
        </w:rPr>
        <w:t xml:space="preserve"> are towns bordering the ocean, lagoons or estuaries at the transverse limit of the sea</w:t>
      </w:r>
      <w:r>
        <w:rPr>
          <w:sz w:val="18"/>
          <w:szCs w:val="18"/>
          <w:lang w:val="en-GB"/>
        </w:rPr>
        <w:t>.</w:t>
      </w:r>
    </w:p>
  </w:footnote>
  <w:footnote w:id="82">
    <w:p w:rsidR="00F7433D" w:rsidRPr="00A949AB" w:rsidRDefault="00F7433D" w:rsidP="00FF4282">
      <w:pPr>
        <w:pStyle w:val="FootnoteText"/>
        <w:jc w:val="left"/>
        <w:rPr>
          <w:sz w:val="18"/>
          <w:szCs w:val="18"/>
          <w:lang w:val="en-GB"/>
        </w:rPr>
      </w:pPr>
      <w:r w:rsidRPr="00A949AB">
        <w:rPr>
          <w:rStyle w:val="FootnoteReference"/>
          <w:sz w:val="18"/>
          <w:szCs w:val="18"/>
        </w:rPr>
        <w:footnoteRef/>
      </w:r>
      <w:r w:rsidRPr="00A949AB">
        <w:rPr>
          <w:sz w:val="18"/>
          <w:szCs w:val="18"/>
          <w:lang w:val="en-GB"/>
        </w:rPr>
        <w:t xml:space="preserve"> Ifremer, https://wwz.ifremer.fr/dcsmm/content/download/53191/754354/version/1/file/AES_Tourisme_littoral_MMDN_V2.pdf</w:t>
      </w:r>
    </w:p>
  </w:footnote>
  <w:footnote w:id="83">
    <w:p w:rsidR="00F7433D" w:rsidRPr="00A949AB" w:rsidRDefault="00F7433D" w:rsidP="00A472D7">
      <w:pPr>
        <w:pStyle w:val="FootnoteText"/>
        <w:jc w:val="left"/>
        <w:rPr>
          <w:sz w:val="18"/>
          <w:szCs w:val="18"/>
          <w:lang w:val="en-GB"/>
        </w:rPr>
      </w:pPr>
      <w:r w:rsidRPr="00A949AB">
        <w:rPr>
          <w:rStyle w:val="FootnoteReference"/>
          <w:sz w:val="18"/>
          <w:szCs w:val="18"/>
        </w:rPr>
        <w:footnoteRef/>
      </w:r>
      <w:r w:rsidRPr="00A949AB">
        <w:rPr>
          <w:sz w:val="18"/>
          <w:szCs w:val="18"/>
          <w:lang w:val="en-GB"/>
        </w:rPr>
        <w:t xml:space="preserve"> Ifremer, see above.</w:t>
      </w:r>
    </w:p>
  </w:footnote>
  <w:footnote w:id="84">
    <w:p w:rsidR="00F7433D" w:rsidRPr="007C2E30" w:rsidRDefault="00F7433D">
      <w:pPr>
        <w:pStyle w:val="FootnoteText"/>
        <w:rPr>
          <w:lang w:val="nl-NL"/>
        </w:rPr>
      </w:pPr>
      <w:r>
        <w:rPr>
          <w:rStyle w:val="FootnoteReference"/>
        </w:rPr>
        <w:footnoteRef/>
      </w:r>
      <w:r w:rsidRPr="002D578F">
        <w:rPr>
          <w:lang w:val="en-GB"/>
        </w:rPr>
        <w:t xml:space="preserve"> </w:t>
      </w:r>
      <w:r w:rsidRPr="007C2E30">
        <w:rPr>
          <w:sz w:val="18"/>
          <w:szCs w:val="18"/>
          <w:lang w:val="en-GB"/>
        </w:rPr>
        <w:t>See methodology Annex for an explanation of the assumptions used in calculating this figures.</w:t>
      </w:r>
    </w:p>
  </w:footnote>
  <w:footnote w:id="85">
    <w:p w:rsidR="00F7433D" w:rsidRPr="002D578F" w:rsidRDefault="00F7433D" w:rsidP="00993BA3">
      <w:pPr>
        <w:pStyle w:val="FootnoteText"/>
        <w:rPr>
          <w:lang w:val="en-GB"/>
        </w:rPr>
      </w:pPr>
      <w:r>
        <w:rPr>
          <w:rStyle w:val="FootnoteReference"/>
        </w:rPr>
        <w:footnoteRef/>
      </w:r>
      <w:r w:rsidRPr="002D578F">
        <w:rPr>
          <w:lang w:val="en-GB"/>
        </w:rPr>
        <w:t xml:space="preserve"> </w:t>
      </w:r>
      <w:r w:rsidRPr="002D578F">
        <w:rPr>
          <w:sz w:val="18"/>
          <w:szCs w:val="18"/>
          <w:lang w:val="en-GB"/>
        </w:rPr>
        <w:t>Eurostat data include only accomodation-related activities</w:t>
      </w:r>
      <w:r w:rsidRPr="002D578F">
        <w:rPr>
          <w:lang w:val="en-GB"/>
        </w:rPr>
        <w:t xml:space="preserve">. </w:t>
      </w:r>
      <w:r w:rsidRPr="002D578F">
        <w:rPr>
          <w:sz w:val="18"/>
          <w:szCs w:val="18"/>
          <w:lang w:val="en-GB"/>
        </w:rPr>
        <w:t>See chapter I and Annex I of this study.</w:t>
      </w:r>
    </w:p>
  </w:footnote>
  <w:footnote w:id="86">
    <w:p w:rsidR="00F7433D" w:rsidRPr="002D578F" w:rsidRDefault="00F7433D">
      <w:pPr>
        <w:pStyle w:val="FootnoteText"/>
        <w:rPr>
          <w:lang w:val="en-GB"/>
        </w:rPr>
      </w:pPr>
      <w:r>
        <w:rPr>
          <w:rStyle w:val="FootnoteReference"/>
        </w:rPr>
        <w:footnoteRef/>
      </w:r>
      <w:r w:rsidRPr="002D578F">
        <w:rPr>
          <w:lang w:val="en-GB"/>
        </w:rPr>
        <w:t xml:space="preserve"> </w:t>
      </w:r>
      <w:r w:rsidRPr="002D578F">
        <w:rPr>
          <w:sz w:val="18"/>
          <w:szCs w:val="18"/>
          <w:lang w:val="en-GB"/>
        </w:rPr>
        <w:t>https://wwz.ifremer.fr/dcsmm/content/download/53191/754354/version/1/file/AES_Tourisme_littoral_MMDN_V2.pdf</w:t>
      </w:r>
    </w:p>
  </w:footnote>
  <w:footnote w:id="87">
    <w:p w:rsidR="00F7433D" w:rsidRPr="00A949AB" w:rsidRDefault="00F7433D" w:rsidP="00A472D7">
      <w:pPr>
        <w:pStyle w:val="FootnoteText"/>
        <w:jc w:val="left"/>
        <w:rPr>
          <w:sz w:val="18"/>
          <w:szCs w:val="18"/>
          <w:lang w:val="en-GB"/>
        </w:rPr>
      </w:pPr>
      <w:r w:rsidRPr="00A949AB">
        <w:rPr>
          <w:rStyle w:val="FootnoteReference"/>
          <w:sz w:val="18"/>
          <w:szCs w:val="18"/>
        </w:rPr>
        <w:footnoteRef/>
      </w:r>
      <w:r w:rsidRPr="00A949AB">
        <w:rPr>
          <w:sz w:val="18"/>
          <w:szCs w:val="18"/>
          <w:lang w:val="en-GB"/>
        </w:rPr>
        <w:t xml:space="preserve"> </w:t>
      </w:r>
      <w:r>
        <w:rPr>
          <w:sz w:val="18"/>
          <w:szCs w:val="18"/>
          <w:lang w:val="en-GB"/>
        </w:rPr>
        <w:t>Ifremer, see above</w:t>
      </w:r>
      <w:r w:rsidRPr="00A949AB">
        <w:rPr>
          <w:sz w:val="18"/>
          <w:szCs w:val="18"/>
          <w:lang w:val="en-GB"/>
        </w:rPr>
        <w:t xml:space="preserve">. </w:t>
      </w:r>
    </w:p>
  </w:footnote>
  <w:footnote w:id="88">
    <w:p w:rsidR="00F7433D" w:rsidRPr="002D578F" w:rsidRDefault="00F7433D">
      <w:pPr>
        <w:pStyle w:val="FootnoteText"/>
        <w:rPr>
          <w:lang w:val="en-GB"/>
        </w:rPr>
      </w:pPr>
      <w:r>
        <w:rPr>
          <w:rStyle w:val="FootnoteReference"/>
        </w:rPr>
        <w:footnoteRef/>
      </w:r>
      <w:r w:rsidRPr="002D578F">
        <w:rPr>
          <w:lang w:val="en-GB"/>
        </w:rPr>
        <w:t xml:space="preserve"> </w:t>
      </w:r>
      <w:r w:rsidRPr="002D578F">
        <w:rPr>
          <w:sz w:val="18"/>
          <w:szCs w:val="18"/>
          <w:lang w:val="en-GB"/>
        </w:rPr>
        <w:t>Official French data only include metropolitan France, whereas Eurostat also include data on oversea territories and departements.</w:t>
      </w:r>
    </w:p>
  </w:footnote>
  <w:footnote w:id="89">
    <w:p w:rsidR="00F7433D" w:rsidRPr="00A949AB" w:rsidRDefault="00F7433D" w:rsidP="00A472D7">
      <w:pPr>
        <w:pStyle w:val="FootnoteText"/>
        <w:jc w:val="left"/>
        <w:rPr>
          <w:sz w:val="18"/>
          <w:szCs w:val="18"/>
          <w:lang w:val="en-GB"/>
        </w:rPr>
      </w:pPr>
      <w:r w:rsidRPr="00A949AB">
        <w:rPr>
          <w:rStyle w:val="FootnoteReference"/>
          <w:sz w:val="18"/>
          <w:szCs w:val="18"/>
        </w:rPr>
        <w:footnoteRef/>
      </w:r>
      <w:r w:rsidRPr="00A949AB">
        <w:rPr>
          <w:sz w:val="18"/>
          <w:szCs w:val="18"/>
          <w:lang w:val="en-GB"/>
        </w:rPr>
        <w:t xml:space="preserve"> Ifremer, see above.</w:t>
      </w:r>
    </w:p>
  </w:footnote>
  <w:footnote w:id="90">
    <w:p w:rsidR="00F7433D" w:rsidRPr="00EE6C34" w:rsidRDefault="00F7433D" w:rsidP="00A472D7">
      <w:pPr>
        <w:pStyle w:val="FootnoteText"/>
        <w:jc w:val="left"/>
        <w:rPr>
          <w:lang w:val="en-GB"/>
        </w:rPr>
      </w:pPr>
      <w:r>
        <w:rPr>
          <w:rStyle w:val="FootnoteReference"/>
        </w:rPr>
        <w:footnoteRef/>
      </w:r>
      <w:r w:rsidRPr="00EE6C34">
        <w:rPr>
          <w:lang w:val="en-GB"/>
        </w:rPr>
        <w:t xml:space="preserve"> </w:t>
      </w:r>
      <w:r w:rsidRPr="00EE6C34">
        <w:rPr>
          <w:sz w:val="18"/>
          <w:szCs w:val="18"/>
          <w:lang w:val="en-GB"/>
        </w:rPr>
        <w:t>Building of leisure boats (including yachts) is presented under ‘Shipbuilding’.</w:t>
      </w:r>
    </w:p>
  </w:footnote>
  <w:footnote w:id="91">
    <w:p w:rsidR="00F7433D" w:rsidRPr="00BF4996" w:rsidRDefault="00F7433D" w:rsidP="00FF4282">
      <w:pPr>
        <w:pStyle w:val="FootnoteText"/>
        <w:jc w:val="left"/>
        <w:rPr>
          <w:sz w:val="18"/>
          <w:szCs w:val="18"/>
          <w:lang w:val="nl-NL"/>
        </w:rPr>
      </w:pPr>
      <w:r w:rsidRPr="00BF4996">
        <w:rPr>
          <w:rStyle w:val="FootnoteReference"/>
          <w:sz w:val="18"/>
          <w:szCs w:val="18"/>
        </w:rPr>
        <w:footnoteRef/>
      </w:r>
      <w:r w:rsidRPr="00BF4996">
        <w:rPr>
          <w:sz w:val="18"/>
          <w:szCs w:val="18"/>
          <w:lang w:val="nl-NL"/>
        </w:rPr>
        <w:t xml:space="preserve"> http://www.developpement-durable.gouv.fr/IMG/pdf/donnees_OPP_dec_2010_resultat_enquete.pdf</w:t>
      </w:r>
    </w:p>
  </w:footnote>
  <w:footnote w:id="92">
    <w:p w:rsidR="00F7433D" w:rsidRPr="00A949AB" w:rsidRDefault="00F7433D">
      <w:pPr>
        <w:pStyle w:val="FootnoteText"/>
        <w:jc w:val="left"/>
        <w:rPr>
          <w:lang w:val="en-GB"/>
        </w:rPr>
      </w:pPr>
      <w:r w:rsidRPr="00A949AB">
        <w:rPr>
          <w:rStyle w:val="FootnoteReference"/>
          <w:sz w:val="18"/>
          <w:szCs w:val="18"/>
        </w:rPr>
        <w:footnoteRef/>
      </w:r>
      <w:r w:rsidRPr="00A949AB">
        <w:rPr>
          <w:sz w:val="18"/>
          <w:szCs w:val="18"/>
          <w:lang w:val="en-GB"/>
        </w:rPr>
        <w:t xml:space="preserve"> The French ministry for Sustainable Development records 67.215 marinas in the Mediterranean coastline, 51.652 along the Atlantic coast and 1.282 in the North region. More information available here : http://www.developpement-durable.gouv.fr/IMG/pdf/donnees_OPP_dec_2010_resultat_enquete.pdf</w:t>
      </w:r>
    </w:p>
  </w:footnote>
  <w:footnote w:id="93">
    <w:p w:rsidR="00F7433D" w:rsidRPr="003D46EA" w:rsidRDefault="00F7433D">
      <w:pPr>
        <w:pStyle w:val="FootnoteText"/>
        <w:jc w:val="left"/>
        <w:rPr>
          <w:sz w:val="18"/>
          <w:szCs w:val="18"/>
          <w:lang w:val="nl-NL"/>
        </w:rPr>
      </w:pPr>
      <w:r w:rsidRPr="003D46EA">
        <w:rPr>
          <w:rStyle w:val="FootnoteReference"/>
          <w:sz w:val="18"/>
          <w:szCs w:val="18"/>
        </w:rPr>
        <w:footnoteRef/>
      </w:r>
      <w:r w:rsidRPr="003D46EA">
        <w:rPr>
          <w:sz w:val="18"/>
          <w:szCs w:val="18"/>
          <w:lang w:val="en-GB"/>
        </w:rPr>
        <w:t xml:space="preserve"> </w:t>
      </w:r>
      <w:r w:rsidRPr="003D46EA">
        <w:rPr>
          <w:sz w:val="18"/>
          <w:szCs w:val="18"/>
          <w:lang w:val="nl-NL"/>
        </w:rPr>
        <w:t>ICOMIA (2011)m Recreational boating statistics</w:t>
      </w:r>
    </w:p>
  </w:footnote>
  <w:footnote w:id="94">
    <w:p w:rsidR="00F7433D" w:rsidRPr="003D46EA" w:rsidRDefault="00F7433D" w:rsidP="00FB1D0C">
      <w:pPr>
        <w:pStyle w:val="FootnoteText"/>
        <w:jc w:val="left"/>
        <w:rPr>
          <w:sz w:val="18"/>
          <w:szCs w:val="18"/>
          <w:lang w:val="nl-NL"/>
        </w:rPr>
      </w:pPr>
      <w:r w:rsidRPr="003D46EA">
        <w:rPr>
          <w:rStyle w:val="FootnoteReference"/>
          <w:sz w:val="18"/>
          <w:szCs w:val="18"/>
        </w:rPr>
        <w:footnoteRef/>
      </w:r>
      <w:r w:rsidRPr="003D46EA">
        <w:rPr>
          <w:sz w:val="18"/>
          <w:szCs w:val="18"/>
          <w:lang w:val="en-GB"/>
        </w:rPr>
        <w:t xml:space="preserve"> </w:t>
      </w:r>
      <w:r w:rsidRPr="003D46EA">
        <w:rPr>
          <w:sz w:val="18"/>
          <w:szCs w:val="18"/>
          <w:lang w:val="nl-NL"/>
        </w:rPr>
        <w:t>Based on data from Eurostat, Cruise council Europe and Cruise Europe.</w:t>
      </w:r>
    </w:p>
  </w:footnote>
  <w:footnote w:id="95">
    <w:p w:rsidR="00F7433D" w:rsidRPr="003D46EA" w:rsidRDefault="00F7433D" w:rsidP="00FB1D0C">
      <w:pPr>
        <w:pStyle w:val="FootnoteText"/>
        <w:jc w:val="left"/>
        <w:rPr>
          <w:sz w:val="18"/>
          <w:szCs w:val="18"/>
          <w:lang w:val="fr-BE"/>
        </w:rPr>
      </w:pPr>
      <w:r w:rsidRPr="003D46EA">
        <w:rPr>
          <w:rStyle w:val="FootnoteReference"/>
          <w:sz w:val="18"/>
          <w:szCs w:val="18"/>
        </w:rPr>
        <w:footnoteRef/>
      </w:r>
      <w:r w:rsidRPr="003D46EA">
        <w:rPr>
          <w:sz w:val="18"/>
          <w:szCs w:val="18"/>
        </w:rPr>
        <w:t xml:space="preserve"> </w:t>
      </w:r>
      <w:r w:rsidRPr="003D46EA">
        <w:rPr>
          <w:sz w:val="18"/>
          <w:szCs w:val="18"/>
          <w:lang w:val="fr-BE"/>
        </w:rPr>
        <w:t>Conseil National du Tourisme, 2010, ‘Essor prometteur des croisières en France’.</w:t>
      </w:r>
    </w:p>
  </w:footnote>
  <w:footnote w:id="96">
    <w:p w:rsidR="00F7433D" w:rsidRPr="003D46EA" w:rsidRDefault="00F7433D" w:rsidP="00FB1D0C">
      <w:pPr>
        <w:pStyle w:val="FootnoteText"/>
        <w:jc w:val="left"/>
        <w:rPr>
          <w:sz w:val="18"/>
          <w:szCs w:val="18"/>
          <w:lang w:val="fr-BE"/>
        </w:rPr>
      </w:pPr>
      <w:r w:rsidRPr="003D46EA">
        <w:rPr>
          <w:rStyle w:val="FootnoteReference"/>
          <w:sz w:val="18"/>
          <w:szCs w:val="18"/>
        </w:rPr>
        <w:footnoteRef/>
      </w:r>
      <w:r w:rsidRPr="003D46EA">
        <w:rPr>
          <w:sz w:val="18"/>
          <w:szCs w:val="18"/>
        </w:rPr>
        <w:t xml:space="preserve"> http://www.conservatoire-du-littoral.fr/front/process/Rubriquee8e8.html?rub=4&amp;rubec=4</w:t>
      </w:r>
    </w:p>
  </w:footnote>
  <w:footnote w:id="97">
    <w:p w:rsidR="00F7433D" w:rsidRPr="00EE6C34" w:rsidRDefault="00F7433D">
      <w:pPr>
        <w:pStyle w:val="FootnoteText"/>
        <w:rPr>
          <w:lang w:val="en-GB"/>
        </w:rPr>
      </w:pPr>
      <w:r>
        <w:rPr>
          <w:rStyle w:val="FootnoteReference"/>
        </w:rPr>
        <w:footnoteRef/>
      </w:r>
      <w:r w:rsidRPr="00EE6C34">
        <w:rPr>
          <w:lang w:val="en-GB"/>
        </w:rPr>
        <w:t xml:space="preserve"> </w:t>
      </w:r>
      <w:r w:rsidRPr="00EE6C34">
        <w:rPr>
          <w:sz w:val="18"/>
          <w:szCs w:val="18"/>
          <w:lang w:val="en-GB"/>
        </w:rPr>
        <w:t>Policy Research Corporation (in association with MRAG), ‘The economics of climate change adaptation in EU coastal areas’, p. 62. Study carried out for the European Commission Directorate General for Maritime Affairs and Fisheries.</w:t>
      </w:r>
      <w:r w:rsidRPr="00EE6C34">
        <w:rPr>
          <w:lang w:val="en-GB"/>
        </w:rPr>
        <w:t xml:space="preserve"> </w:t>
      </w:r>
    </w:p>
  </w:footnote>
  <w:footnote w:id="98">
    <w:p w:rsidR="00F7433D" w:rsidRPr="00957398" w:rsidRDefault="00F7433D" w:rsidP="00FB1D0C">
      <w:pPr>
        <w:pStyle w:val="FootnoteText"/>
        <w:jc w:val="left"/>
        <w:rPr>
          <w:sz w:val="18"/>
          <w:szCs w:val="18"/>
          <w:lang w:val="nl-NL"/>
        </w:rPr>
      </w:pPr>
      <w:r w:rsidRPr="003D46EA">
        <w:rPr>
          <w:rStyle w:val="FootnoteReference"/>
          <w:sz w:val="18"/>
          <w:szCs w:val="18"/>
        </w:rPr>
        <w:footnoteRef/>
      </w:r>
      <w:r w:rsidRPr="003D46EA">
        <w:rPr>
          <w:sz w:val="18"/>
          <w:szCs w:val="18"/>
          <w:lang w:val="nl-NL"/>
        </w:rPr>
        <w:t xml:space="preserve"> </w:t>
      </w:r>
      <w:r w:rsidRPr="00957398">
        <w:rPr>
          <w:sz w:val="18"/>
          <w:szCs w:val="18"/>
          <w:lang w:val="nl-NL"/>
        </w:rPr>
        <w:t>http://www.cluster-maritime.fr/article.php?id=15&amp;lang=Fr</w:t>
      </w:r>
    </w:p>
  </w:footnote>
  <w:footnote w:id="99">
    <w:p w:rsidR="00F7433D" w:rsidRPr="002D578F" w:rsidRDefault="00F7433D">
      <w:pPr>
        <w:pStyle w:val="FootnoteText"/>
        <w:rPr>
          <w:lang w:val="nl-NL"/>
        </w:rPr>
      </w:pPr>
      <w:r w:rsidRPr="00877EDF">
        <w:rPr>
          <w:rStyle w:val="FootnoteReference"/>
          <w:sz w:val="18"/>
          <w:szCs w:val="18"/>
        </w:rPr>
        <w:footnoteRef/>
      </w:r>
      <w:r w:rsidRPr="002D578F">
        <w:rPr>
          <w:sz w:val="18"/>
          <w:szCs w:val="18"/>
          <w:lang w:val="nl-NL"/>
        </w:rPr>
        <w:t xml:space="preserve"> http://www.cluster-maritime.fr/article.php?id=15&amp;lang=Fr</w:t>
      </w:r>
    </w:p>
  </w:footnote>
  <w:footnote w:id="100">
    <w:p w:rsidR="00F7433D" w:rsidRPr="003D46EA" w:rsidRDefault="00F7433D" w:rsidP="00FB1D0C">
      <w:pPr>
        <w:pStyle w:val="FootnoteText"/>
        <w:jc w:val="left"/>
        <w:rPr>
          <w:sz w:val="18"/>
          <w:szCs w:val="18"/>
          <w:lang w:val="nl-NL"/>
        </w:rPr>
      </w:pPr>
      <w:r w:rsidRPr="003D46EA">
        <w:rPr>
          <w:rStyle w:val="FootnoteReference"/>
          <w:sz w:val="18"/>
          <w:szCs w:val="18"/>
        </w:rPr>
        <w:footnoteRef/>
      </w:r>
      <w:r w:rsidRPr="003D46EA">
        <w:rPr>
          <w:sz w:val="18"/>
          <w:szCs w:val="18"/>
          <w:lang w:val="en-GB"/>
        </w:rPr>
        <w:t xml:space="preserve"> See http://en.wikipedia.org/wiki/List_of_oceanographic_institutions_and_programs#France for an overview of marine research institutes and organisations in France.</w:t>
      </w:r>
    </w:p>
  </w:footnote>
  <w:footnote w:id="101">
    <w:p w:rsidR="00F7433D" w:rsidRPr="00EE6C34" w:rsidRDefault="00F7433D">
      <w:pPr>
        <w:pStyle w:val="FootnoteText"/>
        <w:rPr>
          <w:sz w:val="18"/>
          <w:szCs w:val="18"/>
          <w:lang w:val="en-GB"/>
        </w:rPr>
      </w:pPr>
      <w:r w:rsidRPr="00A472D7">
        <w:rPr>
          <w:rStyle w:val="FootnoteReference"/>
          <w:sz w:val="18"/>
          <w:szCs w:val="18"/>
        </w:rPr>
        <w:footnoteRef/>
      </w:r>
      <w:r w:rsidRPr="00EE6C34">
        <w:rPr>
          <w:sz w:val="18"/>
          <w:szCs w:val="18"/>
          <w:lang w:val="en-GB"/>
        </w:rPr>
        <w:t xml:space="preserve"> MRAG (2010), ‘Marine data infrastructure’, p. 8. Study carried out for the European Commission Directorate General for Maritime Affairs and Fisheries. </w:t>
      </w:r>
    </w:p>
  </w:footnote>
  <w:footnote w:id="102">
    <w:p w:rsidR="00F7433D" w:rsidRPr="003D46EA" w:rsidRDefault="00F7433D" w:rsidP="003D46EA">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Please note that the Départements d’Outre Mer (NUTS 1 level) with the NUTS 2 level regions Martinique, Guadeloupe and Guyane have not been considered. Whilst those are part of France, we understand those do not belong to the Atlantic Arc but rather to the Carribean. </w:t>
      </w:r>
    </w:p>
  </w:footnote>
  <w:footnote w:id="103">
    <w:p w:rsidR="00F7433D" w:rsidRPr="00EE6C34" w:rsidRDefault="00F7433D" w:rsidP="006D3672">
      <w:pPr>
        <w:pStyle w:val="FootnoteText"/>
        <w:ind w:left="1134"/>
        <w:rPr>
          <w:sz w:val="18"/>
          <w:szCs w:val="18"/>
          <w:lang w:val="en-GB"/>
        </w:rPr>
      </w:pPr>
      <w:r w:rsidRPr="00A472D7">
        <w:rPr>
          <w:rStyle w:val="FootnoteReference"/>
          <w:sz w:val="18"/>
          <w:szCs w:val="18"/>
        </w:rPr>
        <w:footnoteRef/>
      </w:r>
      <w:r w:rsidRPr="00EE6C34">
        <w:rPr>
          <w:sz w:val="18"/>
          <w:szCs w:val="18"/>
          <w:lang w:val="en-GB"/>
        </w:rPr>
        <w:t xml:space="preserve"> Regional data on employment in the shipbuilding sector has been extracted from the French national database and aggregated at sea basin level. </w:t>
      </w:r>
    </w:p>
  </w:footnote>
  <w:footnote w:id="104">
    <w:p w:rsidR="00F7433D" w:rsidRPr="00EE6C34" w:rsidRDefault="00F7433D" w:rsidP="006D3672">
      <w:pPr>
        <w:pStyle w:val="FootnoteText"/>
        <w:ind w:left="1134"/>
        <w:rPr>
          <w:sz w:val="18"/>
          <w:szCs w:val="18"/>
          <w:lang w:val="en-GB"/>
        </w:rPr>
      </w:pPr>
      <w:r w:rsidRPr="00A472D7">
        <w:rPr>
          <w:rStyle w:val="FootnoteReference"/>
          <w:sz w:val="18"/>
          <w:szCs w:val="18"/>
        </w:rPr>
        <w:footnoteRef/>
      </w:r>
      <w:r w:rsidRPr="00EE6C34">
        <w:rPr>
          <w:sz w:val="18"/>
          <w:szCs w:val="18"/>
          <w:lang w:val="en-GB"/>
        </w:rPr>
        <w:t xml:space="preserve"> Based on Eurostat data on goods handled (tonnes) in France and per major port (2011 data). The ports of Nantes/Rouen/ and Bordeaux have been estimated to have handled 60 mln tonnes of goods in 2011. Based on Eurostat data a share short sea shipping of 70% of all goods has been used for the mediterranean and a share of 60% for the North Sea and Atlantic region.</w:t>
      </w:r>
    </w:p>
  </w:footnote>
  <w:footnote w:id="105">
    <w:p w:rsidR="00F7433D" w:rsidRPr="00EE6C34" w:rsidRDefault="00F7433D" w:rsidP="006D3672">
      <w:pPr>
        <w:pStyle w:val="FootnoteText"/>
        <w:ind w:left="1134"/>
        <w:rPr>
          <w:sz w:val="18"/>
          <w:szCs w:val="18"/>
          <w:lang w:val="en-GB"/>
        </w:rPr>
      </w:pPr>
      <w:r w:rsidRPr="00A472D7">
        <w:rPr>
          <w:rStyle w:val="FootnoteReference"/>
          <w:sz w:val="18"/>
          <w:szCs w:val="18"/>
        </w:rPr>
        <w:footnoteRef/>
      </w:r>
      <w:r w:rsidRPr="00EE6C34">
        <w:rPr>
          <w:sz w:val="18"/>
          <w:szCs w:val="18"/>
          <w:lang w:val="en-GB"/>
        </w:rPr>
        <w:t xml:space="preserve"> Based on Eurostat data of seaborne passengers embarked/disembarked per sea basin. North Sea has been assessed based on Eurostat data for the ports of Calais and Dunkerque.</w:t>
      </w:r>
    </w:p>
  </w:footnote>
  <w:footnote w:id="106">
    <w:p w:rsidR="00F7433D" w:rsidRPr="00A472D7" w:rsidRDefault="00F7433D" w:rsidP="006D3672">
      <w:pPr>
        <w:pStyle w:val="FootnoteText"/>
        <w:ind w:left="1134"/>
        <w:rPr>
          <w:sz w:val="18"/>
          <w:szCs w:val="18"/>
          <w:lang w:val="fr-BE"/>
        </w:rPr>
      </w:pPr>
      <w:r w:rsidRPr="00A472D7">
        <w:rPr>
          <w:rStyle w:val="FootnoteReference"/>
          <w:sz w:val="18"/>
          <w:szCs w:val="18"/>
        </w:rPr>
        <w:footnoteRef/>
      </w:r>
      <w:r w:rsidRPr="00EE6C34">
        <w:rPr>
          <w:sz w:val="18"/>
          <w:szCs w:val="18"/>
          <w:lang w:val="en-GB"/>
        </w:rPr>
        <w:t xml:space="preserve"> Based on percentage share in tonnekilometers transport per basin (2010). </w:t>
      </w:r>
      <w:r w:rsidRPr="00A472D7">
        <w:rPr>
          <w:sz w:val="18"/>
          <w:szCs w:val="18"/>
        </w:rPr>
        <w:t>Source: VNF, Transport de marchandises, Activité 2010.</w:t>
      </w:r>
    </w:p>
  </w:footnote>
  <w:footnote w:id="107">
    <w:p w:rsidR="00F7433D" w:rsidRPr="00A472D7" w:rsidRDefault="00F7433D" w:rsidP="006D3672">
      <w:pPr>
        <w:pStyle w:val="FootnoteText"/>
        <w:ind w:left="1134"/>
        <w:rPr>
          <w:sz w:val="18"/>
          <w:szCs w:val="18"/>
          <w:lang w:val="fr-BE"/>
        </w:rPr>
      </w:pPr>
      <w:r w:rsidRPr="00A472D7">
        <w:rPr>
          <w:rStyle w:val="FootnoteReference"/>
          <w:sz w:val="18"/>
          <w:szCs w:val="18"/>
        </w:rPr>
        <w:footnoteRef/>
      </w:r>
      <w:r w:rsidRPr="00A472D7">
        <w:rPr>
          <w:sz w:val="18"/>
          <w:szCs w:val="18"/>
        </w:rPr>
        <w:t xml:space="preserve"> Both IWT in Rhône/Moselle basin (90.9%) and Nord-Pas de Calais basin (1.3%) itself.</w:t>
      </w:r>
    </w:p>
  </w:footnote>
  <w:footnote w:id="108">
    <w:p w:rsidR="00F7433D" w:rsidRPr="00EE6C34" w:rsidRDefault="00F7433D" w:rsidP="006D3672">
      <w:pPr>
        <w:pStyle w:val="FootnoteText"/>
        <w:ind w:left="1134"/>
        <w:rPr>
          <w:sz w:val="18"/>
          <w:szCs w:val="18"/>
          <w:lang w:val="en-GB"/>
        </w:rPr>
      </w:pPr>
      <w:r w:rsidRPr="00A472D7">
        <w:rPr>
          <w:rStyle w:val="FootnoteReference"/>
          <w:sz w:val="18"/>
          <w:szCs w:val="18"/>
        </w:rPr>
        <w:footnoteRef/>
      </w:r>
      <w:r w:rsidRPr="00EE6C34">
        <w:rPr>
          <w:sz w:val="18"/>
          <w:szCs w:val="18"/>
          <w:lang w:val="en-GB"/>
        </w:rPr>
        <w:t xml:space="preserve"> Regional split of the number of sailors embarked on French vessels in 2010.. The data only includes fishing activities. Source: French Government, 2010. http://www.franceagrimer.fr/content/download/15860/119148/file/Chiffres-cl%C3%A9s+p%C3%AAche+2012.pdf</w:t>
      </w:r>
    </w:p>
  </w:footnote>
  <w:footnote w:id="109">
    <w:p w:rsidR="00F7433D" w:rsidRPr="00A472D7" w:rsidRDefault="00F7433D" w:rsidP="006D3672">
      <w:pPr>
        <w:pStyle w:val="FootnoteText"/>
        <w:ind w:left="1134"/>
        <w:rPr>
          <w:sz w:val="18"/>
          <w:szCs w:val="18"/>
          <w:lang w:val="fr-BE"/>
        </w:rPr>
      </w:pPr>
      <w:r w:rsidRPr="00A472D7">
        <w:rPr>
          <w:rStyle w:val="FootnoteReference"/>
          <w:sz w:val="18"/>
          <w:szCs w:val="18"/>
        </w:rPr>
        <w:footnoteRef/>
      </w:r>
      <w:r w:rsidRPr="00A472D7">
        <w:rPr>
          <w:sz w:val="18"/>
          <w:szCs w:val="18"/>
        </w:rPr>
        <w:t xml:space="preserve"> </w:t>
      </w:r>
      <w:r w:rsidRPr="00A472D7">
        <w:rPr>
          <w:sz w:val="18"/>
          <w:szCs w:val="18"/>
          <w:lang w:val="fr-BE"/>
        </w:rPr>
        <w:t>Picardie and Nord-Pas-de-Calais.</w:t>
      </w:r>
      <w:r w:rsidRPr="00A472D7">
        <w:rPr>
          <w:sz w:val="18"/>
          <w:szCs w:val="18"/>
          <w:lang w:val="fr-BE"/>
        </w:rPr>
        <w:tab/>
      </w:r>
    </w:p>
  </w:footnote>
  <w:footnote w:id="110">
    <w:p w:rsidR="00F7433D" w:rsidRPr="00A472D7" w:rsidRDefault="00F7433D" w:rsidP="006D3672">
      <w:pPr>
        <w:pStyle w:val="FootnoteText"/>
        <w:ind w:left="1134"/>
        <w:rPr>
          <w:lang w:val="fr-BE"/>
        </w:rPr>
      </w:pPr>
      <w:r w:rsidRPr="00A472D7">
        <w:rPr>
          <w:rStyle w:val="FootnoteReference"/>
          <w:sz w:val="18"/>
          <w:szCs w:val="18"/>
        </w:rPr>
        <w:footnoteRef/>
      </w:r>
      <w:r w:rsidRPr="00A472D7">
        <w:rPr>
          <w:sz w:val="18"/>
          <w:szCs w:val="18"/>
        </w:rPr>
        <w:t xml:space="preserve"> Picardie and Nord-Pas-de-Calais.</w:t>
      </w:r>
      <w:r w:rsidRPr="00A472D7">
        <w:rPr>
          <w:sz w:val="18"/>
          <w:szCs w:val="18"/>
        </w:rPr>
        <w:tab/>
      </w:r>
    </w:p>
  </w:footnote>
  <w:footnote w:id="111">
    <w:p w:rsidR="00F7433D" w:rsidRPr="00EE6C34" w:rsidRDefault="00F7433D" w:rsidP="006D3672">
      <w:pPr>
        <w:pStyle w:val="FootnoteText"/>
        <w:ind w:left="1134"/>
        <w:rPr>
          <w:sz w:val="18"/>
          <w:szCs w:val="18"/>
          <w:lang w:val="en-GB"/>
        </w:rPr>
      </w:pPr>
      <w:r w:rsidRPr="00A472D7">
        <w:rPr>
          <w:rStyle w:val="FootnoteReference"/>
          <w:sz w:val="18"/>
          <w:szCs w:val="18"/>
        </w:rPr>
        <w:footnoteRef/>
      </w:r>
      <w:r w:rsidRPr="00EE6C34">
        <w:rPr>
          <w:sz w:val="18"/>
          <w:szCs w:val="18"/>
          <w:lang w:val="en-GB"/>
        </w:rPr>
        <w:t xml:space="preserve"> Percentages have been calculated by extracting the total number of people employed at the regional level in the shellfish sector (preponderant in France) in 2010. Includes both permanent and seasonal jobs.  French Government, 2010, http://agreste.agriculture.gouv.fr/IMG/pdf/gaf12p167-170.pdf</w:t>
      </w:r>
    </w:p>
  </w:footnote>
  <w:footnote w:id="112">
    <w:p w:rsidR="00F7433D" w:rsidRPr="00EE6C34" w:rsidRDefault="00F7433D" w:rsidP="00A472D7">
      <w:pPr>
        <w:pStyle w:val="FootnoteText"/>
        <w:ind w:left="1134"/>
        <w:jc w:val="left"/>
        <w:rPr>
          <w:sz w:val="18"/>
          <w:szCs w:val="18"/>
          <w:lang w:val="en-GB"/>
        </w:rPr>
      </w:pPr>
      <w:r w:rsidRPr="00A472D7">
        <w:rPr>
          <w:rStyle w:val="FootnoteReference"/>
          <w:sz w:val="18"/>
          <w:szCs w:val="18"/>
        </w:rPr>
        <w:footnoteRef/>
      </w:r>
      <w:r w:rsidRPr="00EE6C34">
        <w:rPr>
          <w:sz w:val="18"/>
          <w:szCs w:val="18"/>
          <w:lang w:val="en-GB"/>
        </w:rPr>
        <w:t xml:space="preserve"> To assess the allocation of agriculture on saline soils according to sea basins we use the share of the agricultural area on saline soils as shown in http://eusoils.jrc.ec.europa.eu/library/themes/salinization/data.html . We calculate the total area for France by summing the available data. We then divide the agricultural area on saline soils (expressed hectares) for each NUTS 2 region by the total to assess their share.</w:t>
      </w:r>
    </w:p>
  </w:footnote>
  <w:footnote w:id="113">
    <w:p w:rsidR="00F7433D" w:rsidRPr="00EE6C34" w:rsidRDefault="00F7433D" w:rsidP="00A472D7">
      <w:pPr>
        <w:pStyle w:val="FootnoteText"/>
        <w:ind w:left="1134"/>
        <w:jc w:val="left"/>
        <w:rPr>
          <w:sz w:val="18"/>
          <w:szCs w:val="18"/>
          <w:lang w:val="en-GB"/>
        </w:rPr>
      </w:pPr>
      <w:r w:rsidRPr="00A472D7">
        <w:rPr>
          <w:rStyle w:val="FootnoteReference"/>
          <w:sz w:val="18"/>
          <w:szCs w:val="18"/>
        </w:rPr>
        <w:footnoteRef/>
      </w:r>
      <w:r w:rsidRPr="00EE6C34">
        <w:rPr>
          <w:sz w:val="18"/>
          <w:szCs w:val="18"/>
          <w:lang w:val="en-GB"/>
        </w:rPr>
        <w:t xml:space="preserve"> The only functioning plant is the tidal barrage situated in Rance, Bretagne.</w:t>
      </w:r>
    </w:p>
  </w:footnote>
  <w:footnote w:id="114">
    <w:p w:rsidR="00F7433D" w:rsidRPr="00EE6C34" w:rsidRDefault="00F7433D" w:rsidP="00A472D7">
      <w:pPr>
        <w:pStyle w:val="FootnoteText"/>
        <w:ind w:left="1134"/>
        <w:jc w:val="left"/>
        <w:rPr>
          <w:sz w:val="18"/>
          <w:szCs w:val="18"/>
          <w:lang w:val="en-GB"/>
        </w:rPr>
      </w:pPr>
      <w:r w:rsidRPr="00A472D7">
        <w:rPr>
          <w:rStyle w:val="FootnoteReference"/>
          <w:sz w:val="18"/>
          <w:szCs w:val="18"/>
        </w:rPr>
        <w:footnoteRef/>
      </w:r>
      <w:r w:rsidRPr="00EE6C34">
        <w:rPr>
          <w:sz w:val="18"/>
          <w:szCs w:val="18"/>
          <w:lang w:val="en-GB"/>
        </w:rPr>
        <w:t xml:space="preserve"> According to Ifremer, aggregates mining is concentrated on the western facade of the Channel. http://wwz.ifremer.fr/manchemerdunord/Unite-Halieutique/Halieutique-Boulogne-sur-Mer/Axes-de-recherche/Autres-usages-energies-marines-granulats/Extraction-de-granulats-marins</w:t>
      </w:r>
    </w:p>
  </w:footnote>
  <w:footnote w:id="115">
    <w:p w:rsidR="00F7433D" w:rsidRPr="00EE6C34" w:rsidRDefault="00F7433D" w:rsidP="00A472D7">
      <w:pPr>
        <w:pStyle w:val="FootnoteText"/>
        <w:ind w:left="1276"/>
        <w:jc w:val="left"/>
        <w:rPr>
          <w:sz w:val="18"/>
          <w:szCs w:val="18"/>
          <w:lang w:val="en-GB"/>
        </w:rPr>
      </w:pPr>
      <w:r w:rsidRPr="00A472D7">
        <w:rPr>
          <w:rStyle w:val="FootnoteReference"/>
          <w:sz w:val="18"/>
          <w:szCs w:val="18"/>
        </w:rPr>
        <w:footnoteRef/>
      </w:r>
      <w:r w:rsidRPr="00EE6C34">
        <w:rPr>
          <w:sz w:val="18"/>
          <w:szCs w:val="18"/>
          <w:lang w:val="en-GB"/>
        </w:rPr>
        <w:t xml:space="preserve"> The number of nights spent in the specific NUTS 3 region is based on the same approach as used for the overall estimation of the size of the sector. It is a combination of the available beds in NUTS 3 regions and the number of nights spent in NUTS 3 regions (as available in Eurostat). For the specific  approach please check the elaboration:</w:t>
      </w:r>
    </w:p>
    <w:p w:rsidR="00F7433D" w:rsidRPr="00EE6C34" w:rsidRDefault="00F7433D" w:rsidP="00A472D7">
      <w:pPr>
        <w:pStyle w:val="FootnoteText"/>
        <w:ind w:left="1276"/>
        <w:jc w:val="left"/>
        <w:rPr>
          <w:sz w:val="18"/>
          <w:szCs w:val="18"/>
          <w:lang w:val="en-GB"/>
        </w:rPr>
      </w:pPr>
      <w:r w:rsidRPr="00EE6C34">
        <w:rPr>
          <w:sz w:val="18"/>
          <w:szCs w:val="18"/>
          <w:lang w:val="en-GB"/>
        </w:rPr>
        <w:t>We collected the number of nights spent in a given NUTS-2 region;</w:t>
      </w:r>
    </w:p>
    <w:p w:rsidR="00F7433D" w:rsidRPr="00EE6C34" w:rsidRDefault="00F7433D" w:rsidP="00A472D7">
      <w:pPr>
        <w:pStyle w:val="FootnoteText"/>
        <w:ind w:left="1276"/>
        <w:jc w:val="left"/>
        <w:rPr>
          <w:sz w:val="18"/>
          <w:szCs w:val="18"/>
          <w:lang w:val="en-GB"/>
        </w:rPr>
      </w:pPr>
      <w:r w:rsidRPr="00EE6C34">
        <w:rPr>
          <w:sz w:val="18"/>
          <w:szCs w:val="18"/>
          <w:lang w:val="en-GB"/>
        </w:rPr>
        <w:t>We collected the number of bed-places available for all the NUTS-3 regions within the given NUTS 2 region;</w:t>
      </w:r>
    </w:p>
    <w:p w:rsidR="00F7433D" w:rsidRPr="00EE6C34" w:rsidRDefault="00F7433D" w:rsidP="00A472D7">
      <w:pPr>
        <w:pStyle w:val="FootnoteText"/>
        <w:ind w:left="1276"/>
        <w:jc w:val="left"/>
        <w:rPr>
          <w:sz w:val="18"/>
          <w:szCs w:val="18"/>
          <w:lang w:val="en-GB"/>
        </w:rPr>
      </w:pPr>
      <w:r w:rsidRPr="00EE6C34">
        <w:rPr>
          <w:sz w:val="18"/>
          <w:szCs w:val="18"/>
          <w:lang w:val="en-GB"/>
        </w:rPr>
        <w:t>We attribute a number of nights spent at NUTS-3 level to each NUTS-2 region, based on the respective share on beds available;</w:t>
      </w:r>
    </w:p>
    <w:p w:rsidR="00F7433D" w:rsidRPr="00EE6C34" w:rsidRDefault="00F7433D" w:rsidP="00A472D7">
      <w:pPr>
        <w:pStyle w:val="FootnoteText"/>
        <w:ind w:left="1276"/>
        <w:jc w:val="left"/>
        <w:rPr>
          <w:sz w:val="18"/>
          <w:szCs w:val="18"/>
          <w:lang w:val="en-GB"/>
        </w:rPr>
      </w:pPr>
      <w:r w:rsidRPr="00EE6C34">
        <w:rPr>
          <w:sz w:val="18"/>
          <w:szCs w:val="18"/>
          <w:lang w:val="en-GB"/>
        </w:rPr>
        <w:t>We aggregated resulting “nights spent at NUTS 3” only for maritime NUTS 3 according to their sea basin location.</w:t>
      </w:r>
    </w:p>
  </w:footnote>
  <w:footnote w:id="116">
    <w:p w:rsidR="00F7433D" w:rsidRPr="00EE6C34" w:rsidRDefault="00F7433D" w:rsidP="00A472D7">
      <w:pPr>
        <w:pStyle w:val="FootnoteText"/>
        <w:ind w:left="1276"/>
        <w:jc w:val="left"/>
        <w:rPr>
          <w:sz w:val="18"/>
          <w:szCs w:val="18"/>
          <w:lang w:val="en-GB"/>
        </w:rPr>
      </w:pPr>
      <w:r w:rsidRPr="00A472D7">
        <w:rPr>
          <w:rStyle w:val="FootnoteReference"/>
          <w:sz w:val="18"/>
          <w:szCs w:val="18"/>
        </w:rPr>
        <w:footnoteRef/>
      </w:r>
      <w:r w:rsidRPr="00EE6C34">
        <w:rPr>
          <w:sz w:val="18"/>
          <w:szCs w:val="18"/>
          <w:lang w:val="en-GB"/>
        </w:rPr>
        <w:t xml:space="preserve"> Based on the regional split in jobs according to ICOMIA (North-East = North Sea; South Atlantic &amp; Great West = Atlantic; Mediterranean = Mediterranean)</w:t>
      </w:r>
    </w:p>
  </w:footnote>
  <w:footnote w:id="117">
    <w:p w:rsidR="00F7433D" w:rsidRPr="00A472D7" w:rsidRDefault="00F7433D" w:rsidP="00A472D7">
      <w:pPr>
        <w:pStyle w:val="FootnoteText"/>
        <w:ind w:left="1276"/>
        <w:jc w:val="left"/>
        <w:rPr>
          <w:sz w:val="18"/>
          <w:szCs w:val="18"/>
          <w:lang w:val="fr-BE"/>
        </w:rPr>
      </w:pPr>
      <w:r w:rsidRPr="00A472D7">
        <w:rPr>
          <w:rStyle w:val="FootnoteReference"/>
          <w:sz w:val="18"/>
          <w:szCs w:val="18"/>
        </w:rPr>
        <w:footnoteRef/>
      </w:r>
      <w:r w:rsidRPr="00EE6C34">
        <w:rPr>
          <w:sz w:val="18"/>
          <w:szCs w:val="18"/>
          <w:lang w:val="en-GB"/>
        </w:rPr>
        <w:t xml:space="preserve"> We have used the 2010 data on the number of passengers per cruise port and aggregated it by sea basin. Until 2010, the North sea basin, namely the port of Calais, was not welcoming any cruises. </w:t>
      </w:r>
      <w:r w:rsidRPr="00A472D7">
        <w:rPr>
          <w:sz w:val="18"/>
          <w:szCs w:val="18"/>
        </w:rPr>
        <w:t>Source : Conseil National du Tourisme , 2010, Essor prometteur des croisières en France.</w:t>
      </w:r>
    </w:p>
  </w:footnote>
  <w:footnote w:id="118">
    <w:p w:rsidR="00F7433D" w:rsidRPr="007F22B2" w:rsidRDefault="00F7433D" w:rsidP="007368F6">
      <w:pPr>
        <w:pStyle w:val="FootnoteText"/>
        <w:jc w:val="left"/>
        <w:rPr>
          <w:sz w:val="18"/>
          <w:szCs w:val="18"/>
          <w:lang w:val="en-GB"/>
        </w:rPr>
      </w:pPr>
      <w:r w:rsidRPr="003D46EA">
        <w:rPr>
          <w:rStyle w:val="FootnoteReference"/>
          <w:sz w:val="18"/>
          <w:szCs w:val="18"/>
        </w:rPr>
        <w:footnoteRef/>
      </w:r>
      <w:r w:rsidRPr="007F22B2">
        <w:rPr>
          <w:sz w:val="18"/>
          <w:szCs w:val="18"/>
          <w:lang w:val="en-GB"/>
        </w:rPr>
        <w:t xml:space="preserve"> </w:t>
      </w:r>
      <w:r w:rsidRPr="003D46EA">
        <w:rPr>
          <w:sz w:val="18"/>
          <w:szCs w:val="18"/>
          <w:lang w:val="en-GB"/>
        </w:rPr>
        <w:t xml:space="preserve">In view of the incomplete data sets for employment for the years 2008,2009 and 2010 (Eurostat), the CAGR </w:t>
      </w:r>
      <w:r>
        <w:rPr>
          <w:sz w:val="18"/>
          <w:szCs w:val="18"/>
          <w:lang w:val="en-GB"/>
        </w:rPr>
        <w:t>is mainly calculated on the basis of other relevant indicators</w:t>
      </w:r>
      <w:r w:rsidRPr="003D46EA">
        <w:rPr>
          <w:sz w:val="18"/>
          <w:szCs w:val="18"/>
          <w:lang w:val="en-GB"/>
        </w:rPr>
        <w:t xml:space="preserve"> (see Annex II). </w:t>
      </w:r>
      <w:r>
        <w:rPr>
          <w:sz w:val="18"/>
          <w:szCs w:val="18"/>
          <w:lang w:val="en-GB"/>
        </w:rPr>
        <w:t>Please note that not for all MAEs growth rates could be established.</w:t>
      </w:r>
      <w:r w:rsidRPr="003D46EA">
        <w:rPr>
          <w:sz w:val="18"/>
          <w:szCs w:val="18"/>
          <w:lang w:val="en-GB"/>
        </w:rPr>
        <w:t xml:space="preserve"> </w:t>
      </w:r>
    </w:p>
  </w:footnote>
  <w:footnote w:id="119">
    <w:p w:rsidR="00F7433D" w:rsidRPr="003D46EA" w:rsidRDefault="00F7433D" w:rsidP="003D46EA">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Ecorys, Deltares, Oc</w:t>
      </w:r>
      <w:r w:rsidRPr="003D46EA">
        <w:rPr>
          <w:rFonts w:cstheme="minorHAnsi"/>
          <w:sz w:val="18"/>
          <w:szCs w:val="18"/>
          <w:lang w:val="en-GB"/>
        </w:rPr>
        <w:t>é</w:t>
      </w:r>
      <w:r w:rsidRPr="003D46EA">
        <w:rPr>
          <w:sz w:val="18"/>
          <w:szCs w:val="18"/>
          <w:lang w:val="en-GB"/>
        </w:rPr>
        <w:t>anique D</w:t>
      </w:r>
      <w:r w:rsidRPr="003D46EA">
        <w:rPr>
          <w:rFonts w:cstheme="minorHAnsi"/>
          <w:sz w:val="18"/>
          <w:szCs w:val="18"/>
          <w:lang w:val="en-GB"/>
        </w:rPr>
        <w:t>é</w:t>
      </w:r>
      <w:r w:rsidRPr="003D46EA">
        <w:rPr>
          <w:sz w:val="18"/>
          <w:szCs w:val="18"/>
          <w:lang w:val="en-GB"/>
        </w:rPr>
        <w:t xml:space="preserve">veloppement, 2012: Drivers and Scenarios for Sustainable Growth from the Oceans, Seas and Coasts. Blue Growth Final Report. Annex I. Maritime economic activities data. Available here: </w:t>
      </w:r>
      <w:hyperlink r:id="rId1" w:history="1">
        <w:r w:rsidRPr="003D46EA">
          <w:rPr>
            <w:rStyle w:val="Hyperlink"/>
            <w:sz w:val="18"/>
            <w:szCs w:val="18"/>
            <w:lang w:val="en-GB"/>
          </w:rPr>
          <w:t>https://webgate.ec.europa.eu/maritimeforum/content/2946</w:t>
        </w:r>
      </w:hyperlink>
      <w:r w:rsidRPr="003D46EA">
        <w:rPr>
          <w:sz w:val="18"/>
          <w:szCs w:val="18"/>
          <w:lang w:val="en-GB"/>
        </w:rPr>
        <w:t xml:space="preserve"> </w:t>
      </w:r>
    </w:p>
  </w:footnote>
  <w:footnote w:id="120">
    <w:p w:rsidR="00F7433D" w:rsidRPr="00221884" w:rsidRDefault="00F7433D" w:rsidP="007368F6">
      <w:pPr>
        <w:pStyle w:val="FootnoteText"/>
        <w:rPr>
          <w:lang w:val="nl-NL"/>
        </w:rPr>
      </w:pPr>
      <w:r>
        <w:rPr>
          <w:rStyle w:val="FootnoteReference"/>
        </w:rPr>
        <w:footnoteRef/>
      </w:r>
      <w:r w:rsidRPr="00EE6C34">
        <w:rPr>
          <w:lang w:val="en-GB"/>
        </w:rPr>
        <w:t xml:space="preserve"> </w:t>
      </w:r>
      <w:r w:rsidRPr="00221884">
        <w:rPr>
          <w:lang w:val="en-GB"/>
        </w:rPr>
        <w:t>Dependent on data availability</w:t>
      </w:r>
    </w:p>
  </w:footnote>
  <w:footnote w:id="121">
    <w:p w:rsidR="00F7433D" w:rsidRPr="00EE6C34" w:rsidRDefault="00F7433D" w:rsidP="007368F6">
      <w:pPr>
        <w:pStyle w:val="FootnoteText"/>
        <w:jc w:val="left"/>
        <w:rPr>
          <w:sz w:val="18"/>
          <w:szCs w:val="18"/>
          <w:lang w:val="nl-NL"/>
        </w:rPr>
      </w:pPr>
      <w:r w:rsidRPr="003D46EA">
        <w:rPr>
          <w:rStyle w:val="FootnoteReference"/>
          <w:sz w:val="18"/>
          <w:szCs w:val="18"/>
        </w:rPr>
        <w:footnoteRef/>
      </w:r>
      <w:r w:rsidRPr="00EE6C34">
        <w:rPr>
          <w:sz w:val="18"/>
          <w:szCs w:val="18"/>
          <w:lang w:val="nl-NL"/>
        </w:rPr>
        <w:t xml:space="preserve"> http://investinblue.org/uploads/event_member/86552/bookafteriibautres.pdf</w:t>
      </w:r>
    </w:p>
  </w:footnote>
  <w:footnote w:id="122">
    <w:p w:rsidR="00F7433D" w:rsidRPr="00EE6C34" w:rsidRDefault="00F7433D" w:rsidP="007368F6">
      <w:pPr>
        <w:pStyle w:val="FootnoteText"/>
        <w:jc w:val="left"/>
        <w:rPr>
          <w:sz w:val="18"/>
          <w:szCs w:val="18"/>
          <w:lang w:val="nl-NL"/>
        </w:rPr>
      </w:pPr>
      <w:r w:rsidRPr="003D46EA">
        <w:rPr>
          <w:rStyle w:val="FootnoteReference"/>
          <w:sz w:val="18"/>
          <w:szCs w:val="18"/>
        </w:rPr>
        <w:footnoteRef/>
      </w:r>
      <w:r w:rsidRPr="00EE6C34">
        <w:rPr>
          <w:sz w:val="18"/>
          <w:szCs w:val="18"/>
          <w:lang w:val="nl-NL"/>
        </w:rPr>
        <w:t xml:space="preserve"> http://www.pole-mer.fr/</w:t>
      </w:r>
    </w:p>
  </w:footnote>
  <w:footnote w:id="123">
    <w:p w:rsidR="00F7433D" w:rsidRPr="009879DF" w:rsidRDefault="00F7433D">
      <w:pPr>
        <w:pStyle w:val="FootnoteText"/>
        <w:rPr>
          <w:lang w:val="nl-NL"/>
        </w:rPr>
      </w:pPr>
      <w:r>
        <w:rPr>
          <w:rStyle w:val="FootnoteReference"/>
        </w:rPr>
        <w:footnoteRef/>
      </w:r>
      <w:r w:rsidRPr="00EE6C34">
        <w:rPr>
          <w:lang w:val="en-GB"/>
        </w:rPr>
        <w:t xml:space="preserve"> </w:t>
      </w:r>
      <w:r>
        <w:rPr>
          <w:lang w:val="nl-NL"/>
        </w:rPr>
        <w:t>Prof. Michael E. Porter, 20120213, MOC2012 (HBS course) Session 5 - final</w:t>
      </w:r>
    </w:p>
  </w:footnote>
  <w:footnote w:id="124">
    <w:p w:rsidR="00F7433D" w:rsidRPr="0058793D" w:rsidRDefault="00F7433D" w:rsidP="00EB53C0">
      <w:pPr>
        <w:pStyle w:val="FootnoteText"/>
        <w:rPr>
          <w:lang w:val="en-GB"/>
        </w:rPr>
      </w:pPr>
      <w:r>
        <w:rPr>
          <w:rStyle w:val="FootnoteReference"/>
        </w:rPr>
        <w:footnoteRef/>
      </w:r>
      <w:r w:rsidRPr="0058793D">
        <w:rPr>
          <w:lang w:val="en-GB"/>
        </w:rPr>
        <w:t xml:space="preserve"> </w:t>
      </w:r>
      <w:r w:rsidRPr="00AD7638">
        <w:rPr>
          <w:lang w:val="en-GB"/>
        </w:rPr>
        <w:t>In the previous Blue Growth stud</w:t>
      </w:r>
      <w:r>
        <w:rPr>
          <w:lang w:val="en-GB"/>
        </w:rPr>
        <w:t>y</w:t>
      </w:r>
      <w:r w:rsidRPr="00AD7638">
        <w:rPr>
          <w:lang w:val="en-GB"/>
        </w:rPr>
        <w:t>, these were: Bretagne, Brest, Marseilles, ES: Galician Coast, Barcelona;</w:t>
      </w:r>
    </w:p>
  </w:footnote>
  <w:footnote w:id="125">
    <w:p w:rsidR="00F7433D" w:rsidRPr="00EB53C0" w:rsidRDefault="00F7433D">
      <w:pPr>
        <w:pStyle w:val="FootnoteText"/>
        <w:rPr>
          <w:lang w:val="nl-NL"/>
        </w:rPr>
      </w:pPr>
      <w:r>
        <w:rPr>
          <w:rStyle w:val="FootnoteReference"/>
        </w:rPr>
        <w:footnoteRef/>
      </w:r>
      <w:r w:rsidRPr="00EE6C34">
        <w:rPr>
          <w:lang w:val="en-GB"/>
        </w:rPr>
        <w:t xml:space="preserve"> The EU Cluster Observatory denotes maritime clusters and tourism clusters.</w:t>
      </w:r>
    </w:p>
  </w:footnote>
  <w:footnote w:id="126">
    <w:p w:rsidR="009C141F" w:rsidRPr="002D578F" w:rsidRDefault="009C141F">
      <w:pPr>
        <w:pStyle w:val="FootnoteText"/>
        <w:rPr>
          <w:sz w:val="18"/>
          <w:szCs w:val="18"/>
          <w:lang w:val="en-GB"/>
        </w:rPr>
      </w:pPr>
      <w:r w:rsidRPr="007C2E30">
        <w:rPr>
          <w:rStyle w:val="FootnoteReference"/>
          <w:sz w:val="18"/>
          <w:szCs w:val="18"/>
        </w:rPr>
        <w:footnoteRef/>
      </w:r>
      <w:r w:rsidRPr="002D578F">
        <w:rPr>
          <w:sz w:val="18"/>
          <w:szCs w:val="18"/>
          <w:lang w:val="en-GB"/>
        </w:rPr>
        <w:t xml:space="preserve"> </w:t>
      </w:r>
      <w:r w:rsidR="00D66599" w:rsidRPr="002D578F">
        <w:rPr>
          <w:sz w:val="18"/>
          <w:szCs w:val="18"/>
          <w:lang w:val="en-GB"/>
        </w:rPr>
        <w:t xml:space="preserve">For more information on these projects, see </w:t>
      </w:r>
      <w:r w:rsidRPr="002D578F">
        <w:rPr>
          <w:sz w:val="18"/>
          <w:szCs w:val="18"/>
          <w:lang w:val="en-GB"/>
        </w:rPr>
        <w:t>http://www.invest-in-france.org/Medias/Publications/1105/Brittany-marine-cluster-france-en.pdf</w:t>
      </w:r>
    </w:p>
  </w:footnote>
  <w:footnote w:id="127">
    <w:p w:rsidR="00F7433D" w:rsidRPr="007C2E30" w:rsidRDefault="00F7433D" w:rsidP="004A256A">
      <w:pPr>
        <w:pStyle w:val="FootnoteText"/>
        <w:rPr>
          <w:sz w:val="18"/>
          <w:szCs w:val="18"/>
          <w:lang w:val="en-GB"/>
        </w:rPr>
      </w:pPr>
      <w:r w:rsidRPr="007C2E30">
        <w:rPr>
          <w:rStyle w:val="FootnoteReference"/>
          <w:sz w:val="18"/>
          <w:szCs w:val="18"/>
        </w:rPr>
        <w:footnoteRef/>
      </w:r>
      <w:r w:rsidRPr="007C2E30">
        <w:rPr>
          <w:sz w:val="18"/>
          <w:szCs w:val="18"/>
          <w:lang w:val="en-GB"/>
        </w:rPr>
        <w:t xml:space="preserve"> Technopôle Brest-Iroise was established in 1988. It brings together a network of 200 entities (businesses, research centers, graduate schools and professional bodies) and works towards regional economic development through innovation. According to French literature, the notion of ‘technopôlele’ has appeared in France in the 1970’s, following the Japanese and American examples. Among the most famoused and developed French technopôles, we can mention Sophia-Antipolis, Rennes Atalante, the Technopole of Villeneuve d'Ascq, the Inovallée in Grenoble, the Toulouse aerospatial technopôle.</w:t>
      </w:r>
    </w:p>
  </w:footnote>
  <w:footnote w:id="128">
    <w:p w:rsidR="00F7433D" w:rsidRPr="007C2E30" w:rsidRDefault="00F7433D" w:rsidP="007C2E30">
      <w:pPr>
        <w:pStyle w:val="FootnoteText"/>
        <w:jc w:val="left"/>
        <w:rPr>
          <w:sz w:val="18"/>
          <w:szCs w:val="18"/>
          <w:lang w:val="en-GB"/>
        </w:rPr>
      </w:pPr>
      <w:r w:rsidRPr="007C2E30">
        <w:rPr>
          <w:rStyle w:val="FootnoteReference"/>
          <w:sz w:val="18"/>
          <w:szCs w:val="18"/>
        </w:rPr>
        <w:footnoteRef/>
      </w:r>
      <w:r w:rsidRPr="007C2E30">
        <w:rPr>
          <w:sz w:val="18"/>
          <w:szCs w:val="18"/>
          <w:lang w:val="en-GB"/>
        </w:rPr>
        <w:t xml:space="preserve"> The French term of ‘technopôle’ corresponds to what is elsewhere known as ‘science park’. As a European Commission study on regional research intensive clusters and science parks points out, « there are a number of types of science parks in Europe and over the world (…). One of the reasons is that in different countries different forms of science parks have been developed. Each country has a different history of science parks and has its own terms. For instance, “Science Park” is used in the United Kingdom, “Technopole” or “Technopolis” is used in France, “Technology Centre” and/or “Technology Park” is used in Germany ». The study highlights the lowest common denominator of such parks as the fact that « such parks gather producers of hightechnology products and services, and provide the opportunity for a degree of institutional co-operation between university and industry ». In this sense, we could understand French technopôles as the ancestors of today’s competitiveness clusters. For more information, see </w:t>
      </w:r>
      <w:r w:rsidR="00F122E7" w:rsidRPr="002D578F">
        <w:rPr>
          <w:sz w:val="18"/>
          <w:szCs w:val="18"/>
          <w:lang w:val="en-GB"/>
        </w:rPr>
        <w:t>http://ec.europa.eu/research/regions/documents/publications/sc_park.pdf</w:t>
      </w:r>
    </w:p>
    <w:p w:rsidR="00F7433D" w:rsidRPr="00EE6C34" w:rsidRDefault="00F7433D" w:rsidP="00DE58FA">
      <w:pPr>
        <w:pStyle w:val="FootnoteText"/>
        <w:rPr>
          <w:lang w:val="en-GB"/>
        </w:rPr>
      </w:pPr>
    </w:p>
    <w:p w:rsidR="00F7433D" w:rsidRPr="00EE6C34" w:rsidRDefault="00F7433D" w:rsidP="00DE58FA">
      <w:pPr>
        <w:pStyle w:val="FootnoteText"/>
        <w:rPr>
          <w:lang w:val="en-GB"/>
        </w:rPr>
      </w:pPr>
    </w:p>
  </w:footnote>
  <w:footnote w:id="129">
    <w:p w:rsidR="00F7433D" w:rsidRPr="007C2E30" w:rsidRDefault="00F7433D">
      <w:pPr>
        <w:pStyle w:val="FootnoteText"/>
        <w:rPr>
          <w:sz w:val="18"/>
          <w:szCs w:val="18"/>
          <w:lang w:val="en-GB"/>
        </w:rPr>
      </w:pPr>
      <w:r w:rsidRPr="007C2E30">
        <w:rPr>
          <w:rStyle w:val="FootnoteReference"/>
          <w:sz w:val="18"/>
          <w:szCs w:val="18"/>
        </w:rPr>
        <w:footnoteRef/>
      </w:r>
      <w:r w:rsidRPr="007C2E30">
        <w:rPr>
          <w:sz w:val="18"/>
          <w:szCs w:val="18"/>
          <w:lang w:val="en-GB"/>
        </w:rPr>
        <w:t xml:space="preserve"> The competitive cluster of Pôle Mer Bretagne was created in 2005 with the support of Technopôle Brest-Iroise and is located within its offices. A representative of the Technopôle sits in the board of management of the Pôle Mer Bretagne. At project level, dynamics between the two entities are fed through joint efforts - collaborative programs and anchor projects . An example is the participation to the Medarmor programme, piloted – among other actors - by the Technopôle Brest-Iroise. The programme aims at helping SMEs of the Pôle Mer Bretagne and Pôle Mer PACA to obtain financial support. A second example is the Merific (Marine Energy in Far Peripheral and Island Communities) programme, wich sees both the Technopôle and the Pôle Mer Bretagne as partners. </w:t>
      </w:r>
    </w:p>
  </w:footnote>
  <w:footnote w:id="130">
    <w:p w:rsidR="00F7433D" w:rsidRPr="007C2E30" w:rsidRDefault="00F7433D">
      <w:pPr>
        <w:pStyle w:val="FootnoteText"/>
        <w:rPr>
          <w:sz w:val="18"/>
          <w:szCs w:val="18"/>
          <w:lang w:val="en-GB"/>
        </w:rPr>
      </w:pPr>
      <w:r w:rsidRPr="007C2E30">
        <w:rPr>
          <w:rStyle w:val="FootnoteReference"/>
          <w:sz w:val="18"/>
          <w:szCs w:val="18"/>
        </w:rPr>
        <w:footnoteRef/>
      </w:r>
      <w:r w:rsidRPr="007C2E30">
        <w:rPr>
          <w:sz w:val="18"/>
          <w:szCs w:val="18"/>
          <w:lang w:val="en-GB"/>
        </w:rPr>
        <w:t xml:space="preserve"> For an in depth description of France’s strategy for competitive clusters, see Table 14.</w:t>
      </w:r>
    </w:p>
  </w:footnote>
  <w:footnote w:id="131">
    <w:p w:rsidR="00F7433D" w:rsidRPr="007C2E30" w:rsidRDefault="00F7433D">
      <w:pPr>
        <w:pStyle w:val="FootnoteText"/>
        <w:rPr>
          <w:sz w:val="18"/>
          <w:szCs w:val="18"/>
          <w:lang w:val="fr-BE"/>
        </w:rPr>
      </w:pPr>
      <w:r w:rsidRPr="007C2E30">
        <w:rPr>
          <w:rStyle w:val="FootnoteReference"/>
          <w:sz w:val="18"/>
          <w:szCs w:val="18"/>
        </w:rPr>
        <w:footnoteRef/>
      </w:r>
      <w:r w:rsidRPr="007C2E30">
        <w:rPr>
          <w:sz w:val="18"/>
          <w:szCs w:val="18"/>
        </w:rPr>
        <w:t xml:space="preserve"> </w:t>
      </w:r>
      <w:r w:rsidRPr="007C2E30">
        <w:rPr>
          <w:sz w:val="18"/>
          <w:szCs w:val="18"/>
          <w:lang w:val="fr-BE"/>
        </w:rPr>
        <w:t xml:space="preserve">C. Bernard, H. Ouzzine et al., </w:t>
      </w:r>
      <w:r w:rsidRPr="007C2E30">
        <w:rPr>
          <w:i/>
          <w:sz w:val="18"/>
          <w:szCs w:val="18"/>
          <w:lang w:val="fr-BE"/>
        </w:rPr>
        <w:t>Un pôle de compétitivité en plein boum : le pôle-mer Bretagne</w:t>
      </w:r>
      <w:r w:rsidRPr="007C2E30">
        <w:rPr>
          <w:sz w:val="18"/>
          <w:szCs w:val="18"/>
          <w:lang w:val="fr-BE"/>
        </w:rPr>
        <w:t xml:space="preserve">, Pôle Mer Bretagne and Université de Technologie de Compiègne.  </w:t>
      </w:r>
    </w:p>
  </w:footnote>
  <w:footnote w:id="132">
    <w:p w:rsidR="00F7433D" w:rsidRPr="007C2E30" w:rsidRDefault="00F7433D">
      <w:pPr>
        <w:pStyle w:val="FootnoteText"/>
        <w:rPr>
          <w:i/>
          <w:sz w:val="18"/>
          <w:szCs w:val="18"/>
          <w:lang w:val="en-GB"/>
        </w:rPr>
      </w:pPr>
      <w:r w:rsidRPr="007C2E30">
        <w:rPr>
          <w:rStyle w:val="FootnoteReference"/>
          <w:sz w:val="18"/>
          <w:szCs w:val="18"/>
        </w:rPr>
        <w:footnoteRef/>
      </w:r>
      <w:r w:rsidRPr="007C2E30">
        <w:rPr>
          <w:sz w:val="18"/>
          <w:szCs w:val="18"/>
          <w:lang w:val="en-GB"/>
        </w:rPr>
        <w:t xml:space="preserve"> </w:t>
      </w:r>
      <w:r w:rsidRPr="007C2E30">
        <w:rPr>
          <w:i/>
          <w:sz w:val="18"/>
          <w:szCs w:val="18"/>
          <w:lang w:val="en-GB"/>
        </w:rPr>
        <w:t>Ibid.</w:t>
      </w:r>
    </w:p>
  </w:footnote>
  <w:footnote w:id="133">
    <w:p w:rsidR="00F7433D" w:rsidRPr="007C2E30" w:rsidRDefault="00F7433D">
      <w:pPr>
        <w:pStyle w:val="FootnoteText"/>
        <w:rPr>
          <w:i/>
          <w:sz w:val="18"/>
          <w:szCs w:val="18"/>
          <w:lang w:val="en-GB"/>
        </w:rPr>
      </w:pPr>
      <w:r w:rsidRPr="007C2E30">
        <w:rPr>
          <w:rStyle w:val="FootnoteReference"/>
          <w:sz w:val="18"/>
          <w:szCs w:val="18"/>
        </w:rPr>
        <w:footnoteRef/>
      </w:r>
      <w:r w:rsidRPr="007C2E30">
        <w:rPr>
          <w:sz w:val="18"/>
          <w:szCs w:val="18"/>
          <w:lang w:val="en-GB"/>
        </w:rPr>
        <w:t xml:space="preserve"> </w:t>
      </w:r>
      <w:r w:rsidRPr="007C2E30">
        <w:rPr>
          <w:i/>
          <w:sz w:val="18"/>
          <w:szCs w:val="18"/>
          <w:lang w:val="en-GB"/>
        </w:rPr>
        <w:t>Ibid.</w:t>
      </w:r>
    </w:p>
  </w:footnote>
  <w:footnote w:id="134">
    <w:p w:rsidR="00F7433D" w:rsidRPr="00EE6C34" w:rsidRDefault="00F7433D">
      <w:pPr>
        <w:pStyle w:val="FootnoteText"/>
        <w:rPr>
          <w:i/>
          <w:lang w:val="en-GB"/>
        </w:rPr>
      </w:pPr>
      <w:r w:rsidRPr="007C2E30">
        <w:rPr>
          <w:rStyle w:val="FootnoteReference"/>
          <w:sz w:val="18"/>
          <w:szCs w:val="18"/>
        </w:rPr>
        <w:footnoteRef/>
      </w:r>
      <w:r w:rsidRPr="007C2E30">
        <w:rPr>
          <w:sz w:val="18"/>
          <w:szCs w:val="18"/>
          <w:lang w:val="en-GB"/>
        </w:rPr>
        <w:t xml:space="preserve"> </w:t>
      </w:r>
      <w:r w:rsidRPr="007C2E30">
        <w:rPr>
          <w:i/>
          <w:sz w:val="18"/>
          <w:szCs w:val="18"/>
          <w:lang w:val="en-GB"/>
        </w:rPr>
        <w:t>Ibid.</w:t>
      </w:r>
    </w:p>
  </w:footnote>
  <w:footnote w:id="135">
    <w:p w:rsidR="00F7433D" w:rsidRPr="007C2E30" w:rsidRDefault="00F7433D">
      <w:pPr>
        <w:pStyle w:val="FootnoteText"/>
        <w:rPr>
          <w:sz w:val="18"/>
          <w:szCs w:val="18"/>
          <w:lang w:val="en-GB"/>
        </w:rPr>
      </w:pPr>
      <w:r w:rsidRPr="007C2E30">
        <w:rPr>
          <w:rStyle w:val="FootnoteReference"/>
          <w:sz w:val="18"/>
          <w:szCs w:val="18"/>
        </w:rPr>
        <w:footnoteRef/>
      </w:r>
      <w:r w:rsidRPr="007C2E30">
        <w:rPr>
          <w:sz w:val="18"/>
          <w:szCs w:val="18"/>
          <w:lang w:val="en-GB"/>
        </w:rPr>
        <w:t xml:space="preserve"> All the information concerning the Bretagne Pôle naval has been retrieved from the following website : http://bretagnepolenaval.org/?langue=en. Where otherwise, alternative sources are reported. </w:t>
      </w:r>
    </w:p>
  </w:footnote>
  <w:footnote w:id="136">
    <w:p w:rsidR="00F7433D" w:rsidRPr="007C2E30" w:rsidRDefault="00F7433D">
      <w:pPr>
        <w:pStyle w:val="FootnoteText"/>
        <w:rPr>
          <w:sz w:val="18"/>
          <w:szCs w:val="18"/>
          <w:lang w:val="en-GB"/>
        </w:rPr>
      </w:pPr>
      <w:r w:rsidRPr="007C2E30">
        <w:rPr>
          <w:rStyle w:val="FootnoteReference"/>
          <w:sz w:val="18"/>
          <w:szCs w:val="18"/>
        </w:rPr>
        <w:footnoteRef/>
      </w:r>
      <w:r w:rsidRPr="007C2E30">
        <w:rPr>
          <w:sz w:val="18"/>
          <w:szCs w:val="18"/>
          <w:lang w:val="en-GB"/>
        </w:rPr>
        <w:t xml:space="preserve"> Please note that the Bretagne Pôle Naval network, despite receiving direct financial support from the Brittany region, does not include training and or research and education institutions. It was in fact created in 2007 with the primary objective to federate all the actors of the Breton shipbuilding and ship repair industry. However, connections and collaboration channels are believed to exist between the professional network and the research and education world. Moreover, the Pôle Naval is not a ‘centrally driven’ competitiveness cluster, but a regional cluster, which in recent years has successfully developed to include the offshore oil and gas as well as the marine renewable energy sectors.</w:t>
      </w:r>
    </w:p>
  </w:footnote>
  <w:footnote w:id="137">
    <w:p w:rsidR="00F7433D" w:rsidRPr="007C2E30" w:rsidRDefault="00F7433D">
      <w:pPr>
        <w:pStyle w:val="FootnoteText"/>
        <w:rPr>
          <w:sz w:val="18"/>
          <w:szCs w:val="18"/>
          <w:lang w:val="en-GB"/>
        </w:rPr>
      </w:pPr>
      <w:r w:rsidRPr="007C2E30">
        <w:rPr>
          <w:rStyle w:val="FootnoteReference"/>
          <w:sz w:val="18"/>
          <w:szCs w:val="18"/>
        </w:rPr>
        <w:footnoteRef/>
      </w:r>
      <w:r w:rsidRPr="007C2E30">
        <w:rPr>
          <w:sz w:val="18"/>
          <w:szCs w:val="18"/>
          <w:lang w:val="en-GB"/>
        </w:rPr>
        <w:t xml:space="preserve"> 12 dry docks, 5 mobile lifts from 70 to 650 tons, one fixed lift of 2000 tons, 4 slipways, workshops and covered shipyards, industrial deepwater quays with platforms for heavy loads and handling equipment.</w:t>
      </w:r>
    </w:p>
  </w:footnote>
  <w:footnote w:id="138">
    <w:p w:rsidR="00F7433D" w:rsidRPr="007C2E30" w:rsidRDefault="00F7433D" w:rsidP="000758E3">
      <w:pPr>
        <w:pStyle w:val="FootnoteText"/>
        <w:jc w:val="left"/>
        <w:rPr>
          <w:sz w:val="18"/>
          <w:szCs w:val="18"/>
          <w:lang w:val="en-GB"/>
        </w:rPr>
      </w:pPr>
      <w:r w:rsidRPr="007C2E30">
        <w:rPr>
          <w:rStyle w:val="FootnoteReference"/>
          <w:sz w:val="18"/>
          <w:szCs w:val="18"/>
        </w:rPr>
        <w:footnoteRef/>
      </w:r>
      <w:r w:rsidRPr="007C2E30">
        <w:rPr>
          <w:sz w:val="18"/>
          <w:szCs w:val="18"/>
          <w:lang w:val="en-GB"/>
        </w:rPr>
        <w:t xml:space="preserve"> http://www.bretagne.fr/internet/upload/docs/application/pdf/2012-07/rapport_transversal_mer_bp_2012_relecture_finale.pdf</w:t>
      </w:r>
    </w:p>
  </w:footnote>
  <w:footnote w:id="139">
    <w:p w:rsidR="00CD2541" w:rsidRPr="002D578F" w:rsidRDefault="00CD2541">
      <w:pPr>
        <w:pStyle w:val="FootnoteText"/>
        <w:rPr>
          <w:lang w:val="en-GB"/>
        </w:rPr>
      </w:pPr>
      <w:r w:rsidRPr="007C2E30">
        <w:rPr>
          <w:rStyle w:val="FootnoteReference"/>
          <w:sz w:val="18"/>
          <w:szCs w:val="18"/>
        </w:rPr>
        <w:footnoteRef/>
      </w:r>
      <w:r w:rsidRPr="002D578F">
        <w:rPr>
          <w:sz w:val="18"/>
          <w:szCs w:val="18"/>
          <w:lang w:val="en-GB"/>
        </w:rPr>
        <w:t xml:space="preserve"> http://www.usinenouvelle.com/article/bordeaux-attend-les-super-yachts.N203583</w:t>
      </w:r>
    </w:p>
  </w:footnote>
  <w:footnote w:id="140">
    <w:p w:rsidR="00CD2541" w:rsidRPr="002D578F" w:rsidRDefault="00CD2541">
      <w:pPr>
        <w:pStyle w:val="FootnoteText"/>
        <w:rPr>
          <w:lang w:val="en-GB"/>
        </w:rPr>
      </w:pPr>
      <w:r w:rsidRPr="007C2E30">
        <w:rPr>
          <w:rStyle w:val="FootnoteReference"/>
          <w:sz w:val="18"/>
          <w:szCs w:val="18"/>
        </w:rPr>
        <w:footnoteRef/>
      </w:r>
      <w:r w:rsidRPr="002D578F">
        <w:rPr>
          <w:sz w:val="18"/>
          <w:szCs w:val="18"/>
          <w:lang w:val="en-GB"/>
        </w:rPr>
        <w:t xml:space="preserve"> http://www.sudouest.fr/2013/10/15/feltesse-mise-sur-les-yachts-1199510-2780.php</w:t>
      </w:r>
    </w:p>
  </w:footnote>
  <w:footnote w:id="141">
    <w:p w:rsidR="00F7433D" w:rsidRPr="00CD2C69" w:rsidRDefault="00F7433D" w:rsidP="00985B03">
      <w:pPr>
        <w:pStyle w:val="FootnoteText"/>
        <w:rPr>
          <w:lang w:val="en-GB"/>
        </w:rPr>
      </w:pPr>
      <w:r>
        <w:rPr>
          <w:rStyle w:val="FootnoteReference"/>
        </w:rPr>
        <w:footnoteRef/>
      </w:r>
      <w:r w:rsidRPr="00CD2C69">
        <w:rPr>
          <w:lang w:val="en-GB"/>
        </w:rPr>
        <w:t xml:space="preserve"> </w:t>
      </w:r>
      <w:r>
        <w:rPr>
          <w:lang w:val="en-GB"/>
        </w:rPr>
        <w:t xml:space="preserve">Where available data exists, this should be provided at NUTS  3 level. However, if not available, a NUTS 2 data are gathered. The breakdown on cluster level will be provided and the rationale provided. </w:t>
      </w:r>
    </w:p>
  </w:footnote>
  <w:footnote w:id="142">
    <w:p w:rsidR="00F7433D" w:rsidRPr="00EE6C34" w:rsidRDefault="00F7433D">
      <w:pPr>
        <w:pStyle w:val="FootnoteText"/>
        <w:rPr>
          <w:lang w:val="en-GB"/>
        </w:rPr>
      </w:pPr>
      <w:r>
        <w:rPr>
          <w:rStyle w:val="FootnoteReference"/>
        </w:rPr>
        <w:footnoteRef/>
      </w:r>
      <w:r w:rsidRPr="00EE6C34">
        <w:rPr>
          <w:lang w:val="en-GB"/>
        </w:rPr>
        <w:t xml:space="preserve"> Information provided concerning the Brest cluster has been retrieved from the Technopôle Brest-Iroise website (</w:t>
      </w:r>
      <w:r w:rsidRPr="00E47C20">
        <w:rPr>
          <w:lang w:val="en-GB"/>
        </w:rPr>
        <w:t>http://www.tech-brest-iroise.fr/Homepage-625-0-0-0.html</w:t>
      </w:r>
      <w:r w:rsidRPr="00EE6C34">
        <w:rPr>
          <w:lang w:val="en-GB"/>
        </w:rPr>
        <w:t>). Where otherwise, alternative sources have been duly referenced.</w:t>
      </w:r>
    </w:p>
  </w:footnote>
  <w:footnote w:id="143">
    <w:p w:rsidR="00F7433D" w:rsidRPr="00EE6C34" w:rsidRDefault="00F7433D">
      <w:pPr>
        <w:pStyle w:val="FootnoteText"/>
        <w:rPr>
          <w:lang w:val="en-GB"/>
        </w:rPr>
      </w:pPr>
      <w:r>
        <w:rPr>
          <w:rStyle w:val="FootnoteReference"/>
        </w:rPr>
        <w:footnoteRef/>
      </w:r>
      <w:r w:rsidRPr="00EE6C34">
        <w:rPr>
          <w:lang w:val="en-GB"/>
        </w:rPr>
        <w:t xml:space="preserve"> The Brest Technopôle Campus hosts 2100 students. In the campus, there are also 900 professors, researchers, engineers and technicians, and 700 administrative staff in research and training facilities.</w:t>
      </w:r>
    </w:p>
  </w:footnote>
  <w:footnote w:id="144">
    <w:p w:rsidR="00F7433D" w:rsidRPr="00EE6C34" w:rsidRDefault="00F7433D" w:rsidP="002C721C">
      <w:pPr>
        <w:pStyle w:val="FootnoteText"/>
        <w:jc w:val="left"/>
        <w:rPr>
          <w:lang w:val="en-GB"/>
        </w:rPr>
      </w:pPr>
      <w:r>
        <w:rPr>
          <w:rStyle w:val="FootnoteReference"/>
        </w:rPr>
        <w:footnoteRef/>
      </w:r>
      <w:r w:rsidRPr="00EE6C34">
        <w:rPr>
          <w:lang w:val="en-GB"/>
        </w:rPr>
        <w:t xml:space="preserve"> http://www.bdm.insee.fr/bdm2/affichageSeries.action;jsessionid=07FD6DCDFD43F080D525FB7CBCF4E4D2?recherche=idbank&amp;idbank=001515894&amp;codeGroupe=713</w:t>
      </w:r>
    </w:p>
  </w:footnote>
  <w:footnote w:id="145">
    <w:p w:rsidR="00F7433D" w:rsidRPr="00EE6C34" w:rsidRDefault="00F7433D">
      <w:pPr>
        <w:pStyle w:val="FootnoteText"/>
        <w:rPr>
          <w:lang w:val="en-GB"/>
        </w:rPr>
      </w:pPr>
      <w:r>
        <w:rPr>
          <w:rStyle w:val="FootnoteReference"/>
        </w:rPr>
        <w:footnoteRef/>
      </w:r>
      <w:r w:rsidRPr="00EE6C34">
        <w:rPr>
          <w:lang w:val="en-GB"/>
        </w:rPr>
        <w:t xml:space="preserve"> http://www.insee.fr/fr/regions/bretagne/default.asp?page=conjoncture/taux_chomage.htm</w:t>
      </w:r>
    </w:p>
  </w:footnote>
  <w:footnote w:id="146">
    <w:p w:rsidR="00F7433D" w:rsidRPr="00EE6C34" w:rsidRDefault="00F7433D" w:rsidP="009256E9">
      <w:pPr>
        <w:pStyle w:val="FootnoteText"/>
        <w:jc w:val="left"/>
        <w:rPr>
          <w:lang w:val="en-GB"/>
        </w:rPr>
      </w:pPr>
      <w:r>
        <w:rPr>
          <w:rStyle w:val="FootnoteReference"/>
        </w:rPr>
        <w:footnoteRef/>
      </w:r>
      <w:r w:rsidRPr="00EE6C34">
        <w:rPr>
          <w:lang w:val="en-GB"/>
        </w:rPr>
        <w:t xml:space="preserve"> http://www.bdm.insee.fr/bdm2/affichageSeries.action;jsessionid=07FD6DCDFD43F080D525FB7CBCF4E4D2?recherche=idbank&amp;idbank=001515894&amp;codeGroupe=713</w:t>
      </w:r>
    </w:p>
  </w:footnote>
  <w:footnote w:id="147">
    <w:p w:rsidR="00F7433D" w:rsidRPr="00EE6C34" w:rsidRDefault="00F7433D" w:rsidP="009256E9">
      <w:pPr>
        <w:pStyle w:val="FootnoteText"/>
        <w:rPr>
          <w:lang w:val="en-GB"/>
        </w:rPr>
      </w:pPr>
      <w:r>
        <w:rPr>
          <w:rStyle w:val="FootnoteReference"/>
        </w:rPr>
        <w:footnoteRef/>
      </w:r>
      <w:r w:rsidRPr="00EE6C34">
        <w:rPr>
          <w:lang w:val="en-GB"/>
        </w:rPr>
        <w:t xml:space="preserve"> http://www.insee.fr/fr/regions/bretagne/default.asp?page=conjoncture/taux_chomage.htm</w:t>
      </w:r>
    </w:p>
  </w:footnote>
  <w:footnote w:id="148">
    <w:p w:rsidR="00F7433D" w:rsidRPr="00EE6C34" w:rsidRDefault="00F7433D">
      <w:pPr>
        <w:pStyle w:val="FootnoteText"/>
        <w:rPr>
          <w:lang w:val="en-GB"/>
        </w:rPr>
      </w:pPr>
      <w:r>
        <w:rPr>
          <w:rStyle w:val="FootnoteReference"/>
        </w:rPr>
        <w:footnoteRef/>
      </w:r>
      <w:r w:rsidRPr="00EE6C34">
        <w:rPr>
          <w:lang w:val="en-GB"/>
        </w:rPr>
        <w:t xml:space="preserve"> http://bretagnepolenaval.org/modules/kameleon/upload/1annuaire-crn-bpn2012.pdf</w:t>
      </w:r>
    </w:p>
  </w:footnote>
  <w:footnote w:id="149">
    <w:p w:rsidR="00F7433D" w:rsidRPr="002D578F" w:rsidRDefault="00F7433D">
      <w:pPr>
        <w:pStyle w:val="FootnoteText"/>
        <w:rPr>
          <w:lang w:val="en-GB"/>
        </w:rPr>
      </w:pPr>
      <w:r>
        <w:rPr>
          <w:rStyle w:val="FootnoteReference"/>
        </w:rPr>
        <w:footnoteRef/>
      </w:r>
      <w:r w:rsidRPr="002D578F">
        <w:rPr>
          <w:lang w:val="en-GB"/>
        </w:rPr>
        <w:t xml:space="preserve"> http://www.usinenouvelle.com/article/bordeaux-attend-les-super-yachts.N203583</w:t>
      </w:r>
    </w:p>
  </w:footnote>
  <w:footnote w:id="150">
    <w:p w:rsidR="00F7433D" w:rsidRPr="00EE6C34" w:rsidRDefault="00F7433D" w:rsidP="006C0966">
      <w:pPr>
        <w:pStyle w:val="FootnoteText"/>
        <w:jc w:val="left"/>
        <w:rPr>
          <w:lang w:val="en-GB"/>
        </w:rPr>
      </w:pPr>
      <w:r>
        <w:rPr>
          <w:rStyle w:val="FootnoteReference"/>
        </w:rPr>
        <w:footnoteRef/>
      </w:r>
      <w:r w:rsidRPr="00EE6C34">
        <w:rPr>
          <w:lang w:val="en-GB"/>
        </w:rPr>
        <w:t xml:space="preserve"> http://competitivite.gouv.fr/documents/commun/Documentation_poles/brochures_poles/anglais/brochure-ang-internet.pdf</w:t>
      </w:r>
    </w:p>
  </w:footnote>
  <w:footnote w:id="151">
    <w:p w:rsidR="00F7433D" w:rsidRPr="008419DC" w:rsidRDefault="00F7433D" w:rsidP="00985B03">
      <w:pPr>
        <w:pStyle w:val="FootnoteText"/>
        <w:rPr>
          <w:lang w:val="en-GB"/>
        </w:rPr>
      </w:pPr>
      <w:r>
        <w:rPr>
          <w:rStyle w:val="FootnoteReference"/>
        </w:rPr>
        <w:footnoteRef/>
      </w:r>
      <w:r w:rsidRPr="008419DC">
        <w:rPr>
          <w:lang w:val="en-GB"/>
        </w:rPr>
        <w:t xml:space="preserve"> </w:t>
      </w:r>
      <w:r>
        <w:rPr>
          <w:lang w:val="en-GB"/>
        </w:rPr>
        <w:t>W</w:t>
      </w:r>
      <w:r w:rsidRPr="008419DC">
        <w:rPr>
          <w:lang w:val="en-GB"/>
        </w:rPr>
        <w:t>e understand this might differ for specific policies.</w:t>
      </w:r>
      <w:r>
        <w:rPr>
          <w:lang w:val="en-GB"/>
        </w:rPr>
        <w:t xml:space="preserve"> See also table 3 of this country fiche. </w:t>
      </w:r>
    </w:p>
  </w:footnote>
  <w:footnote w:id="152">
    <w:p w:rsidR="00F7433D" w:rsidRPr="002D578F" w:rsidRDefault="00F7433D" w:rsidP="004F0695">
      <w:pPr>
        <w:pStyle w:val="FootnoteText"/>
        <w:jc w:val="left"/>
        <w:rPr>
          <w:lang w:val="en-GB"/>
        </w:rPr>
      </w:pPr>
      <w:r>
        <w:rPr>
          <w:rStyle w:val="FootnoteReference"/>
        </w:rPr>
        <w:footnoteRef/>
      </w:r>
      <w:r w:rsidRPr="002D578F">
        <w:rPr>
          <w:lang w:val="en-GB"/>
        </w:rPr>
        <w:t xml:space="preserve"> All information concerning the ‘Grenelle de la Mer’ has been retrieved from the official website of the policy initiative as well as from the progress reports published by the French Governement. If otherwise, alternative sources have been reported. For more information, see : http://www.developpement-durable.gouv.fr/IMG/pdf/09024_HS-Grenelle-Mer_Engagements_GB_23-12-10_web.pdf and </w:t>
      </w:r>
    </w:p>
    <w:p w:rsidR="00F7433D" w:rsidRPr="002D578F" w:rsidRDefault="00F7433D" w:rsidP="004F0695">
      <w:pPr>
        <w:pStyle w:val="FootnoteText"/>
        <w:jc w:val="left"/>
        <w:rPr>
          <w:lang w:val="en-GB"/>
        </w:rPr>
      </w:pPr>
      <w:r w:rsidRPr="002D578F">
        <w:rPr>
          <w:lang w:val="en-GB"/>
        </w:rPr>
        <w:t>http://www.developpement-durable.gouv.fr/IMG/pdf/Grenelle_de_la_mer_2eme_rapport.pdf</w:t>
      </w:r>
    </w:p>
  </w:footnote>
  <w:footnote w:id="153">
    <w:p w:rsidR="00F7433D" w:rsidRPr="002D578F" w:rsidRDefault="00F7433D">
      <w:pPr>
        <w:pStyle w:val="FootnoteText"/>
        <w:rPr>
          <w:lang w:val="en-GB"/>
        </w:rPr>
      </w:pPr>
      <w:r>
        <w:rPr>
          <w:rStyle w:val="FootnoteReference"/>
        </w:rPr>
        <w:footnoteRef/>
      </w:r>
      <w:r w:rsidRPr="002D578F">
        <w:rPr>
          <w:lang w:val="en-GB"/>
        </w:rPr>
        <w:t xml:space="preserve"> For more information, see the second and last progress report : http://www.developpement-durable.gouv.fr/IMG/pdf/Rapport_d_etape_-_Grenelle_de_la_mer.pdf</w:t>
      </w:r>
    </w:p>
  </w:footnote>
  <w:footnote w:id="154">
    <w:p w:rsidR="00F7433D" w:rsidRPr="002D578F" w:rsidRDefault="00F7433D">
      <w:pPr>
        <w:pStyle w:val="FootnoteText"/>
        <w:rPr>
          <w:lang w:val="en-GB"/>
        </w:rPr>
      </w:pPr>
      <w:r>
        <w:rPr>
          <w:rStyle w:val="FootnoteReference"/>
        </w:rPr>
        <w:footnoteRef/>
      </w:r>
      <w:r w:rsidRPr="002D578F">
        <w:rPr>
          <w:lang w:val="en-GB"/>
        </w:rPr>
        <w:t xml:space="preserve"> http://www.geo.fr/environnement/les-mots-verts/energies-renouvelables-40381</w:t>
      </w:r>
    </w:p>
  </w:footnote>
  <w:footnote w:id="155">
    <w:p w:rsidR="00F7433D" w:rsidRPr="002D578F" w:rsidRDefault="00F7433D">
      <w:pPr>
        <w:pStyle w:val="FootnoteText"/>
        <w:rPr>
          <w:lang w:val="en-GB"/>
        </w:rPr>
      </w:pPr>
      <w:r>
        <w:rPr>
          <w:rStyle w:val="FootnoteReference"/>
        </w:rPr>
        <w:footnoteRef/>
      </w:r>
      <w:r w:rsidRPr="002D578F">
        <w:rPr>
          <w:lang w:val="en-GB"/>
        </w:rPr>
        <w:t xml:space="preserve"> http://www.gouvernement.fr/gouvernement/la-politique-maritime</w:t>
      </w:r>
    </w:p>
  </w:footnote>
  <w:footnote w:id="156">
    <w:p w:rsidR="00F7433D" w:rsidRPr="008419DC" w:rsidRDefault="00F7433D" w:rsidP="00985B03">
      <w:pPr>
        <w:pStyle w:val="FootnoteText"/>
        <w:rPr>
          <w:lang w:val="en-US"/>
        </w:rPr>
      </w:pPr>
      <w:r>
        <w:rPr>
          <w:rStyle w:val="FootnoteReference"/>
        </w:rPr>
        <w:footnoteRef/>
      </w:r>
      <w:r w:rsidRPr="008419DC">
        <w:rPr>
          <w:lang w:val="en-GB"/>
        </w:rPr>
        <w:t xml:space="preserve"> </w:t>
      </w:r>
      <w:r>
        <w:rPr>
          <w:lang w:val="en-US"/>
        </w:rPr>
        <w:t xml:space="preserve">Provided that data is available to identify indicators of success of the good practice (evidence for impact). </w:t>
      </w:r>
    </w:p>
  </w:footnote>
  <w:footnote w:id="157">
    <w:p w:rsidR="00F7433D" w:rsidRPr="002D578F" w:rsidRDefault="00F7433D" w:rsidP="00DA3922">
      <w:pPr>
        <w:pStyle w:val="FootnoteText"/>
        <w:jc w:val="left"/>
        <w:rPr>
          <w:lang w:val="en-GB"/>
        </w:rPr>
      </w:pPr>
      <w:r>
        <w:rPr>
          <w:rStyle w:val="FootnoteReference"/>
        </w:rPr>
        <w:footnoteRef/>
      </w:r>
      <w:r w:rsidRPr="002D578F">
        <w:rPr>
          <w:lang w:val="en-GB"/>
        </w:rPr>
        <w:t xml:space="preserve"> Information has been retrieved from the French Ministry for Sustainable Developement </w:t>
      </w:r>
    </w:p>
    <w:p w:rsidR="00F7433D" w:rsidRPr="002D578F" w:rsidRDefault="00F7433D" w:rsidP="00DA3922">
      <w:pPr>
        <w:pStyle w:val="FootnoteText"/>
        <w:jc w:val="left"/>
        <w:rPr>
          <w:lang w:val="en-GB"/>
        </w:rPr>
      </w:pPr>
      <w:r w:rsidRPr="002D578F">
        <w:rPr>
          <w:lang w:val="en-GB"/>
        </w:rPr>
        <w:t>(http://www.developpement-durable.gouv.fr/IMG/pdf/Grenelle_de_la_mer_2eme_rapport.pdf). If  If otherwise, alternative sources have been reported.</w:t>
      </w:r>
    </w:p>
  </w:footnote>
  <w:footnote w:id="158">
    <w:p w:rsidR="00F7433D" w:rsidRPr="002D578F" w:rsidRDefault="00F7433D" w:rsidP="007B1A7A">
      <w:pPr>
        <w:pStyle w:val="FootnoteText"/>
        <w:rPr>
          <w:lang w:val="en-GB"/>
        </w:rPr>
      </w:pPr>
      <w:r>
        <w:rPr>
          <w:rStyle w:val="FootnoteReference"/>
        </w:rPr>
        <w:footnoteRef/>
      </w:r>
      <w:r w:rsidRPr="002D578F">
        <w:rPr>
          <w:lang w:val="en-GB"/>
        </w:rPr>
        <w:t xml:space="preserve"> http://www.isemar.asso.fr/fr/pdf/note-de-synthese-isemar-121.pdf</w:t>
      </w:r>
    </w:p>
  </w:footnote>
  <w:footnote w:id="159">
    <w:p w:rsidR="00F7433D" w:rsidRPr="002D578F" w:rsidRDefault="00F7433D">
      <w:pPr>
        <w:pStyle w:val="FootnoteText"/>
        <w:rPr>
          <w:lang w:val="en-GB"/>
        </w:rPr>
      </w:pPr>
      <w:r>
        <w:rPr>
          <w:rStyle w:val="FootnoteReference"/>
        </w:rPr>
        <w:footnoteRef/>
      </w:r>
      <w:r w:rsidRPr="002D578F">
        <w:rPr>
          <w:lang w:val="en-GB"/>
        </w:rPr>
        <w:t xml:space="preserve"> It believed that the decisional procedure that led to the approval of the ‘Grenelle de la Mer’ maritime policy was an innovative and inclusive one, which might be considered as a best practice for other national and/or European maritime policy initiatives.</w:t>
      </w:r>
    </w:p>
  </w:footnote>
  <w:footnote w:id="160">
    <w:p w:rsidR="00F7433D" w:rsidRPr="002D578F" w:rsidRDefault="00F7433D">
      <w:pPr>
        <w:pStyle w:val="FootnoteText"/>
        <w:rPr>
          <w:lang w:val="en-GB"/>
        </w:rPr>
      </w:pPr>
      <w:r>
        <w:rPr>
          <w:rStyle w:val="FootnoteReference"/>
        </w:rPr>
        <w:footnoteRef/>
      </w:r>
      <w:r w:rsidRPr="002D578F">
        <w:rPr>
          <w:lang w:val="en-GB"/>
        </w:rPr>
        <w:t xml:space="preserve"> The English version of the Blue Book can be found here : http://www.developpement-durable.gouv.fr/IMG/pdf/Livre_bleu_anglais-2.pdf</w:t>
      </w:r>
    </w:p>
  </w:footnote>
  <w:footnote w:id="161">
    <w:p w:rsidR="00F7433D" w:rsidRPr="002D578F" w:rsidRDefault="00F7433D">
      <w:pPr>
        <w:pStyle w:val="FootnoteText"/>
        <w:rPr>
          <w:lang w:val="en-GB"/>
        </w:rPr>
      </w:pPr>
      <w:r>
        <w:rPr>
          <w:rStyle w:val="FootnoteReference"/>
        </w:rPr>
        <w:footnoteRef/>
      </w:r>
      <w:r w:rsidRPr="002D578F">
        <w:rPr>
          <w:lang w:val="en-GB"/>
        </w:rPr>
        <w:t xml:space="preserve"> http://www.wwf.fr/s-informer/dossiers/grenelle-de-la-mer</w:t>
      </w:r>
    </w:p>
  </w:footnote>
  <w:footnote w:id="162">
    <w:p w:rsidR="00F7433D" w:rsidRPr="003D46EA" w:rsidRDefault="00F7433D" w:rsidP="003D46EA">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Figure excluding leisure boats</w:t>
      </w:r>
    </w:p>
  </w:footnote>
  <w:footnote w:id="163">
    <w:p w:rsidR="00F7433D" w:rsidRPr="003D46EA" w:rsidRDefault="00F7433D" w:rsidP="003D46EA">
      <w:pPr>
        <w:pStyle w:val="FootnoteText"/>
        <w:jc w:val="left"/>
        <w:rPr>
          <w:sz w:val="18"/>
          <w:szCs w:val="18"/>
          <w:lang w:val="en-GB"/>
        </w:rPr>
      </w:pPr>
      <w:r w:rsidRPr="003D46EA">
        <w:rPr>
          <w:rStyle w:val="FootnoteReference"/>
          <w:sz w:val="18"/>
          <w:szCs w:val="18"/>
        </w:rPr>
        <w:footnoteRef/>
      </w:r>
      <w:r w:rsidRPr="003D46EA">
        <w:rPr>
          <w:sz w:val="18"/>
          <w:szCs w:val="18"/>
          <w:lang w:val="en-GB"/>
        </w:rPr>
        <w:t xml:space="preserve"> According to IFP Energies Nouvelles, around 90% of the sector’s turnover comes from export activities. </w:t>
      </w:r>
    </w:p>
  </w:footnote>
  <w:footnote w:id="164">
    <w:p w:rsidR="00F7433D" w:rsidRPr="00A472D7" w:rsidRDefault="00F7433D" w:rsidP="00A472D7">
      <w:pPr>
        <w:pStyle w:val="FootnoteText"/>
        <w:rPr>
          <w:lang w:val="nl-NL"/>
        </w:rPr>
      </w:pPr>
      <w:r>
        <w:rPr>
          <w:rStyle w:val="FootnoteReference"/>
        </w:rPr>
        <w:footnoteRef/>
      </w:r>
      <w:r w:rsidRPr="00EE6C34">
        <w:rPr>
          <w:lang w:val="en-GB"/>
        </w:rPr>
        <w:t xml:space="preserve"> </w:t>
      </w:r>
      <w:r w:rsidRPr="00E07E8D">
        <w:rPr>
          <w:sz w:val="18"/>
          <w:szCs w:val="18"/>
          <w:lang w:val="en-GB"/>
        </w:rPr>
        <w:t>NACE codes have changed before and after 2008 which complicates making time series for a period longer than 2008-2010.</w:t>
      </w:r>
      <w:r>
        <w:rPr>
          <w:lang w:val="nl-NL"/>
        </w:rPr>
        <w:t xml:space="preserve"> </w:t>
      </w:r>
    </w:p>
  </w:footnote>
  <w:footnote w:id="165">
    <w:p w:rsidR="00F7433D" w:rsidRPr="00AC427C" w:rsidRDefault="00F7433D" w:rsidP="00A472D7">
      <w:pPr>
        <w:pStyle w:val="FootnoteText"/>
        <w:rPr>
          <w:lang w:val="nl-NL"/>
        </w:rPr>
      </w:pPr>
      <w:r>
        <w:rPr>
          <w:rStyle w:val="FootnoteReference"/>
        </w:rPr>
        <w:footnoteRef/>
      </w:r>
      <w:r w:rsidRPr="00EE6C34">
        <w:rPr>
          <w:lang w:val="en-GB"/>
        </w:rPr>
        <w:t xml:space="preserve"> </w:t>
      </w:r>
      <w:r w:rsidRPr="00E07E8D">
        <w:rPr>
          <w:sz w:val="18"/>
          <w:szCs w:val="18"/>
          <w:lang w:val="en-GB"/>
        </w:rPr>
        <w:t>2009-2010</w:t>
      </w:r>
    </w:p>
  </w:footnote>
  <w:footnote w:id="166">
    <w:p w:rsidR="00F7433D" w:rsidRPr="00E07E8D" w:rsidRDefault="00F7433D" w:rsidP="00A472D7">
      <w:pPr>
        <w:pStyle w:val="FootnoteText"/>
        <w:rPr>
          <w:lang w:val="nl-NL"/>
        </w:rPr>
      </w:pPr>
      <w:r>
        <w:rPr>
          <w:rStyle w:val="FootnoteReference"/>
        </w:rPr>
        <w:footnoteRef/>
      </w:r>
      <w:r w:rsidRPr="00EE6C34">
        <w:rPr>
          <w:lang w:val="en-GB"/>
        </w:rPr>
        <w:t xml:space="preserve"> </w:t>
      </w:r>
      <w:r w:rsidRPr="00E07E8D">
        <w:rPr>
          <w:sz w:val="18"/>
          <w:szCs w:val="18"/>
          <w:lang w:val="en-GB"/>
        </w:rPr>
        <w:t>2000-2011</w:t>
      </w:r>
    </w:p>
  </w:footnote>
  <w:footnote w:id="167">
    <w:p w:rsidR="00F7433D" w:rsidRPr="00E07E8D" w:rsidRDefault="00F7433D" w:rsidP="00A472D7">
      <w:pPr>
        <w:pStyle w:val="FootnoteText"/>
        <w:rPr>
          <w:lang w:val="nl-NL"/>
        </w:rPr>
      </w:pPr>
      <w:r>
        <w:rPr>
          <w:rStyle w:val="FootnoteReference"/>
        </w:rPr>
        <w:footnoteRef/>
      </w:r>
      <w:r w:rsidRPr="00EE6C34">
        <w:rPr>
          <w:lang w:val="en-GB"/>
        </w:rPr>
        <w:t xml:space="preserve"> </w:t>
      </w:r>
      <w:r w:rsidRPr="00E07E8D">
        <w:rPr>
          <w:sz w:val="18"/>
          <w:szCs w:val="18"/>
          <w:lang w:val="en-GB"/>
        </w:rPr>
        <w:t>2004-2012</w:t>
      </w:r>
    </w:p>
  </w:footnote>
  <w:footnote w:id="168">
    <w:p w:rsidR="00F7433D" w:rsidRPr="003D46EA" w:rsidRDefault="00F7433D" w:rsidP="00A472D7">
      <w:pPr>
        <w:pStyle w:val="FootnoteText"/>
        <w:jc w:val="left"/>
        <w:rPr>
          <w:sz w:val="18"/>
          <w:szCs w:val="18"/>
          <w:lang w:val="en-GB"/>
        </w:rPr>
      </w:pPr>
      <w:r w:rsidRPr="003D46EA">
        <w:rPr>
          <w:rStyle w:val="FootnoteReference"/>
          <w:sz w:val="18"/>
          <w:szCs w:val="18"/>
        </w:rPr>
        <w:footnoteRef/>
      </w:r>
      <w:r>
        <w:rPr>
          <w:sz w:val="18"/>
          <w:szCs w:val="18"/>
          <w:lang w:val="en-GB"/>
        </w:rPr>
        <w:t xml:space="preserve"> </w:t>
      </w:r>
      <w:r w:rsidRPr="003D46EA">
        <w:rPr>
          <w:sz w:val="18"/>
          <w:szCs w:val="18"/>
          <w:lang w:val="en-GB"/>
        </w:rPr>
        <w:t>2007-201</w:t>
      </w:r>
      <w:r>
        <w:rPr>
          <w:sz w:val="18"/>
          <w:szCs w:val="18"/>
          <w:lang w:val="en-GB"/>
        </w:rPr>
        <w:t>2</w:t>
      </w:r>
    </w:p>
  </w:footnote>
  <w:footnote w:id="169">
    <w:p w:rsidR="00F7433D" w:rsidRPr="00424383" w:rsidRDefault="00F7433D" w:rsidP="00A472D7">
      <w:pPr>
        <w:pStyle w:val="FootnoteText"/>
        <w:rPr>
          <w:lang w:val="nl-NL"/>
        </w:rPr>
      </w:pPr>
      <w:r>
        <w:rPr>
          <w:rStyle w:val="FootnoteReference"/>
        </w:rPr>
        <w:footnoteRef/>
      </w:r>
      <w:r w:rsidRPr="00EE6C34">
        <w:rPr>
          <w:lang w:val="en-GB"/>
        </w:rPr>
        <w:t xml:space="preserve"> </w:t>
      </w:r>
      <w:r>
        <w:rPr>
          <w:lang w:val="nl-NL"/>
        </w:rPr>
        <w:t>No distinction between fish for human and animal consumption</w:t>
      </w:r>
    </w:p>
  </w:footnote>
  <w:footnote w:id="170">
    <w:p w:rsidR="00F7433D" w:rsidRPr="003D46EA" w:rsidRDefault="00F7433D" w:rsidP="00A472D7">
      <w:pPr>
        <w:pStyle w:val="FootnoteText"/>
        <w:jc w:val="left"/>
        <w:rPr>
          <w:sz w:val="18"/>
          <w:szCs w:val="18"/>
          <w:lang w:val="en-GB"/>
        </w:rPr>
      </w:pPr>
      <w:r w:rsidRPr="003D46EA">
        <w:rPr>
          <w:rStyle w:val="FootnoteReference"/>
          <w:sz w:val="18"/>
          <w:szCs w:val="18"/>
        </w:rPr>
        <w:footnoteRef/>
      </w:r>
      <w:r>
        <w:rPr>
          <w:sz w:val="18"/>
          <w:szCs w:val="18"/>
          <w:lang w:val="en-GB"/>
        </w:rPr>
        <w:t xml:space="preserve"> </w:t>
      </w:r>
      <w:r w:rsidRPr="003D46EA">
        <w:rPr>
          <w:sz w:val="18"/>
          <w:szCs w:val="18"/>
          <w:lang w:val="en-GB"/>
        </w:rPr>
        <w:t>2000-2011</w:t>
      </w:r>
    </w:p>
  </w:footnote>
  <w:footnote w:id="171">
    <w:p w:rsidR="00F7433D" w:rsidRPr="003D46EA" w:rsidRDefault="00F7433D" w:rsidP="00A472D7">
      <w:pPr>
        <w:pStyle w:val="FootnoteText"/>
        <w:jc w:val="left"/>
        <w:rPr>
          <w:sz w:val="18"/>
          <w:szCs w:val="18"/>
          <w:lang w:val="en-GB"/>
        </w:rPr>
      </w:pPr>
      <w:r w:rsidRPr="003D46EA">
        <w:rPr>
          <w:rStyle w:val="FootnoteReference"/>
          <w:sz w:val="18"/>
          <w:szCs w:val="18"/>
        </w:rPr>
        <w:footnoteRef/>
      </w:r>
      <w:r>
        <w:rPr>
          <w:sz w:val="18"/>
          <w:szCs w:val="18"/>
          <w:lang w:val="en-GB"/>
        </w:rPr>
        <w:t xml:space="preserve"> </w:t>
      </w:r>
      <w:r w:rsidRPr="003D46EA">
        <w:rPr>
          <w:sz w:val="18"/>
          <w:szCs w:val="18"/>
          <w:lang w:val="en-GB"/>
        </w:rPr>
        <w:t>2004-2011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3D" w:rsidRPr="00CF1A23" w:rsidRDefault="00F7433D" w:rsidP="00864EAB">
    <w:pPr>
      <w:pStyle w:val="Header"/>
      <w:tabs>
        <w:tab w:val="clear" w:pos="4819"/>
        <w:tab w:val="clear" w:pos="9638"/>
      </w:tabs>
      <w:ind w:left="-284" w:right="-144"/>
      <w:jc w:val="center"/>
      <w:rPr>
        <w:lang w:val="en-GB"/>
      </w:rPr>
    </w:pPr>
    <w:r w:rsidRPr="00CF1A23">
      <w:rPr>
        <w:b/>
        <w:color w:val="1F497D" w:themeColor="text2"/>
        <w:lang w:val="en-GB"/>
      </w:rPr>
      <w:t>EUNETMAR</w:t>
    </w:r>
    <w:r w:rsidRPr="00CF1A23">
      <w:rPr>
        <w:lang w:val="en-GB"/>
      </w:rPr>
      <w:t xml:space="preserve">   </w:t>
    </w:r>
    <w:r w:rsidRPr="00CF1A23">
      <w:rPr>
        <w:sz w:val="20"/>
        <w:szCs w:val="20"/>
        <w:lang w:val="en-GB"/>
      </w:rPr>
      <w:t>Study on Blue Growth, maritime policy and EU strategy for the Baltic sea region</w:t>
    </w:r>
    <w:r w:rsidRPr="00CF1A23">
      <w:rPr>
        <w:sz w:val="16"/>
        <w:szCs w:val="16"/>
        <w:lang w:val="en-GB"/>
      </w:rPr>
      <w:t xml:space="preserve">   </w:t>
    </w:r>
    <w:r w:rsidRPr="00CF1A23">
      <w:rPr>
        <w:b/>
        <w:color w:val="1F497D" w:themeColor="text2"/>
        <w:lang w:val="en-GB"/>
      </w:rPr>
      <w:t>INCEPTION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8EA9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06DE5"/>
    <w:multiLevelType w:val="hybridMultilevel"/>
    <w:tmpl w:val="7414BA74"/>
    <w:lvl w:ilvl="0" w:tplc="04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9C7129"/>
    <w:multiLevelType w:val="hybridMultilevel"/>
    <w:tmpl w:val="4B0EC110"/>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09310A"/>
    <w:multiLevelType w:val="hybridMultilevel"/>
    <w:tmpl w:val="17102D2C"/>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174051"/>
    <w:multiLevelType w:val="hybridMultilevel"/>
    <w:tmpl w:val="37564D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D5C31C5"/>
    <w:multiLevelType w:val="hybridMultilevel"/>
    <w:tmpl w:val="89C02CE0"/>
    <w:lvl w:ilvl="0" w:tplc="08090001">
      <w:start w:val="1"/>
      <w:numFmt w:val="bullet"/>
      <w:lvlText w:val=""/>
      <w:lvlJc w:val="left"/>
      <w:pPr>
        <w:ind w:left="720" w:hanging="360"/>
      </w:pPr>
      <w:rPr>
        <w:rFonts w:ascii="Symbol" w:hAnsi="Symbol"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E503F7B"/>
    <w:multiLevelType w:val="hybridMultilevel"/>
    <w:tmpl w:val="6B365DE2"/>
    <w:lvl w:ilvl="0" w:tplc="080C0001">
      <w:start w:val="1"/>
      <w:numFmt w:val="bullet"/>
      <w:lvlText w:val=""/>
      <w:lvlJc w:val="left"/>
      <w:pPr>
        <w:ind w:left="677" w:hanging="360"/>
      </w:pPr>
      <w:rPr>
        <w:rFonts w:ascii="Symbol" w:hAnsi="Symbol" w:hint="default"/>
      </w:rPr>
    </w:lvl>
    <w:lvl w:ilvl="1" w:tplc="080C0003" w:tentative="1">
      <w:start w:val="1"/>
      <w:numFmt w:val="bullet"/>
      <w:lvlText w:val="o"/>
      <w:lvlJc w:val="left"/>
      <w:pPr>
        <w:ind w:left="1397" w:hanging="360"/>
      </w:pPr>
      <w:rPr>
        <w:rFonts w:ascii="Courier New" w:hAnsi="Courier New" w:cs="Courier New" w:hint="default"/>
      </w:rPr>
    </w:lvl>
    <w:lvl w:ilvl="2" w:tplc="080C0005" w:tentative="1">
      <w:start w:val="1"/>
      <w:numFmt w:val="bullet"/>
      <w:lvlText w:val=""/>
      <w:lvlJc w:val="left"/>
      <w:pPr>
        <w:ind w:left="2117" w:hanging="360"/>
      </w:pPr>
      <w:rPr>
        <w:rFonts w:ascii="Wingdings" w:hAnsi="Wingdings" w:hint="default"/>
      </w:rPr>
    </w:lvl>
    <w:lvl w:ilvl="3" w:tplc="080C0001" w:tentative="1">
      <w:start w:val="1"/>
      <w:numFmt w:val="bullet"/>
      <w:lvlText w:val=""/>
      <w:lvlJc w:val="left"/>
      <w:pPr>
        <w:ind w:left="2837" w:hanging="360"/>
      </w:pPr>
      <w:rPr>
        <w:rFonts w:ascii="Symbol" w:hAnsi="Symbol" w:hint="default"/>
      </w:rPr>
    </w:lvl>
    <w:lvl w:ilvl="4" w:tplc="080C0003" w:tentative="1">
      <w:start w:val="1"/>
      <w:numFmt w:val="bullet"/>
      <w:lvlText w:val="o"/>
      <w:lvlJc w:val="left"/>
      <w:pPr>
        <w:ind w:left="3557" w:hanging="360"/>
      </w:pPr>
      <w:rPr>
        <w:rFonts w:ascii="Courier New" w:hAnsi="Courier New" w:cs="Courier New" w:hint="default"/>
      </w:rPr>
    </w:lvl>
    <w:lvl w:ilvl="5" w:tplc="080C0005" w:tentative="1">
      <w:start w:val="1"/>
      <w:numFmt w:val="bullet"/>
      <w:lvlText w:val=""/>
      <w:lvlJc w:val="left"/>
      <w:pPr>
        <w:ind w:left="4277" w:hanging="360"/>
      </w:pPr>
      <w:rPr>
        <w:rFonts w:ascii="Wingdings" w:hAnsi="Wingdings" w:hint="default"/>
      </w:rPr>
    </w:lvl>
    <w:lvl w:ilvl="6" w:tplc="080C0001" w:tentative="1">
      <w:start w:val="1"/>
      <w:numFmt w:val="bullet"/>
      <w:lvlText w:val=""/>
      <w:lvlJc w:val="left"/>
      <w:pPr>
        <w:ind w:left="4997" w:hanging="360"/>
      </w:pPr>
      <w:rPr>
        <w:rFonts w:ascii="Symbol" w:hAnsi="Symbol" w:hint="default"/>
      </w:rPr>
    </w:lvl>
    <w:lvl w:ilvl="7" w:tplc="080C0003" w:tentative="1">
      <w:start w:val="1"/>
      <w:numFmt w:val="bullet"/>
      <w:lvlText w:val="o"/>
      <w:lvlJc w:val="left"/>
      <w:pPr>
        <w:ind w:left="5717" w:hanging="360"/>
      </w:pPr>
      <w:rPr>
        <w:rFonts w:ascii="Courier New" w:hAnsi="Courier New" w:cs="Courier New" w:hint="default"/>
      </w:rPr>
    </w:lvl>
    <w:lvl w:ilvl="8" w:tplc="080C0005" w:tentative="1">
      <w:start w:val="1"/>
      <w:numFmt w:val="bullet"/>
      <w:lvlText w:val=""/>
      <w:lvlJc w:val="left"/>
      <w:pPr>
        <w:ind w:left="6437" w:hanging="360"/>
      </w:pPr>
      <w:rPr>
        <w:rFonts w:ascii="Wingdings" w:hAnsi="Wingdings" w:hint="default"/>
      </w:rPr>
    </w:lvl>
  </w:abstractNum>
  <w:abstractNum w:abstractNumId="7">
    <w:nsid w:val="0E8F3350"/>
    <w:multiLevelType w:val="hybridMultilevel"/>
    <w:tmpl w:val="4B4291D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137241AD"/>
    <w:multiLevelType w:val="hybridMultilevel"/>
    <w:tmpl w:val="DD20B0EA"/>
    <w:lvl w:ilvl="0" w:tplc="26FCD7E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5D54564"/>
    <w:multiLevelType w:val="hybridMultilevel"/>
    <w:tmpl w:val="0068F48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82A389E"/>
    <w:multiLevelType w:val="hybridMultilevel"/>
    <w:tmpl w:val="2CAAD46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88F4B5B"/>
    <w:multiLevelType w:val="hybridMultilevel"/>
    <w:tmpl w:val="18DE4D18"/>
    <w:lvl w:ilvl="0" w:tplc="08090001">
      <w:start w:val="1"/>
      <w:numFmt w:val="bullet"/>
      <w:lvlText w:val=""/>
      <w:lvlJc w:val="left"/>
      <w:pPr>
        <w:ind w:left="535" w:hanging="360"/>
      </w:pPr>
      <w:rPr>
        <w:rFonts w:ascii="Symbol" w:hAnsi="Symbol" w:hint="default"/>
      </w:rPr>
    </w:lvl>
    <w:lvl w:ilvl="1" w:tplc="080C0003" w:tentative="1">
      <w:start w:val="1"/>
      <w:numFmt w:val="bullet"/>
      <w:lvlText w:val="o"/>
      <w:lvlJc w:val="left"/>
      <w:pPr>
        <w:ind w:left="1255" w:hanging="360"/>
      </w:pPr>
      <w:rPr>
        <w:rFonts w:ascii="Courier New" w:hAnsi="Courier New" w:cs="Courier New" w:hint="default"/>
      </w:rPr>
    </w:lvl>
    <w:lvl w:ilvl="2" w:tplc="080C0005" w:tentative="1">
      <w:start w:val="1"/>
      <w:numFmt w:val="bullet"/>
      <w:lvlText w:val=""/>
      <w:lvlJc w:val="left"/>
      <w:pPr>
        <w:ind w:left="1975" w:hanging="360"/>
      </w:pPr>
      <w:rPr>
        <w:rFonts w:ascii="Wingdings" w:hAnsi="Wingdings" w:hint="default"/>
      </w:rPr>
    </w:lvl>
    <w:lvl w:ilvl="3" w:tplc="080C0001" w:tentative="1">
      <w:start w:val="1"/>
      <w:numFmt w:val="bullet"/>
      <w:lvlText w:val=""/>
      <w:lvlJc w:val="left"/>
      <w:pPr>
        <w:ind w:left="2695" w:hanging="360"/>
      </w:pPr>
      <w:rPr>
        <w:rFonts w:ascii="Symbol" w:hAnsi="Symbol" w:hint="default"/>
      </w:rPr>
    </w:lvl>
    <w:lvl w:ilvl="4" w:tplc="080C0003" w:tentative="1">
      <w:start w:val="1"/>
      <w:numFmt w:val="bullet"/>
      <w:lvlText w:val="o"/>
      <w:lvlJc w:val="left"/>
      <w:pPr>
        <w:ind w:left="3415" w:hanging="360"/>
      </w:pPr>
      <w:rPr>
        <w:rFonts w:ascii="Courier New" w:hAnsi="Courier New" w:cs="Courier New" w:hint="default"/>
      </w:rPr>
    </w:lvl>
    <w:lvl w:ilvl="5" w:tplc="080C0005" w:tentative="1">
      <w:start w:val="1"/>
      <w:numFmt w:val="bullet"/>
      <w:lvlText w:val=""/>
      <w:lvlJc w:val="left"/>
      <w:pPr>
        <w:ind w:left="4135" w:hanging="360"/>
      </w:pPr>
      <w:rPr>
        <w:rFonts w:ascii="Wingdings" w:hAnsi="Wingdings" w:hint="default"/>
      </w:rPr>
    </w:lvl>
    <w:lvl w:ilvl="6" w:tplc="080C0001" w:tentative="1">
      <w:start w:val="1"/>
      <w:numFmt w:val="bullet"/>
      <w:lvlText w:val=""/>
      <w:lvlJc w:val="left"/>
      <w:pPr>
        <w:ind w:left="4855" w:hanging="360"/>
      </w:pPr>
      <w:rPr>
        <w:rFonts w:ascii="Symbol" w:hAnsi="Symbol" w:hint="default"/>
      </w:rPr>
    </w:lvl>
    <w:lvl w:ilvl="7" w:tplc="080C0003" w:tentative="1">
      <w:start w:val="1"/>
      <w:numFmt w:val="bullet"/>
      <w:lvlText w:val="o"/>
      <w:lvlJc w:val="left"/>
      <w:pPr>
        <w:ind w:left="5575" w:hanging="360"/>
      </w:pPr>
      <w:rPr>
        <w:rFonts w:ascii="Courier New" w:hAnsi="Courier New" w:cs="Courier New" w:hint="default"/>
      </w:rPr>
    </w:lvl>
    <w:lvl w:ilvl="8" w:tplc="080C0005" w:tentative="1">
      <w:start w:val="1"/>
      <w:numFmt w:val="bullet"/>
      <w:lvlText w:val=""/>
      <w:lvlJc w:val="left"/>
      <w:pPr>
        <w:ind w:left="6295" w:hanging="360"/>
      </w:pPr>
      <w:rPr>
        <w:rFonts w:ascii="Wingdings" w:hAnsi="Wingdings" w:hint="default"/>
      </w:rPr>
    </w:lvl>
  </w:abstractNum>
  <w:abstractNum w:abstractNumId="12">
    <w:nsid w:val="1DA9240B"/>
    <w:multiLevelType w:val="hybridMultilevel"/>
    <w:tmpl w:val="ED4E8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ED50E34"/>
    <w:multiLevelType w:val="hybridMultilevel"/>
    <w:tmpl w:val="3DDC9FF2"/>
    <w:lvl w:ilvl="0" w:tplc="CE5C156C">
      <w:start w:val="1"/>
      <w:numFmt w:val="bullet"/>
      <w:pStyle w:val="bulletpoin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13141D"/>
    <w:multiLevelType w:val="multilevel"/>
    <w:tmpl w:val="B022801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09A31AE"/>
    <w:multiLevelType w:val="hybridMultilevel"/>
    <w:tmpl w:val="F26CD0D8"/>
    <w:lvl w:ilvl="0" w:tplc="5272552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13B645A"/>
    <w:multiLevelType w:val="hybridMultilevel"/>
    <w:tmpl w:val="5AD4E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410933"/>
    <w:multiLevelType w:val="hybridMultilevel"/>
    <w:tmpl w:val="358220E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D2D75"/>
    <w:multiLevelType w:val="hybridMultilevel"/>
    <w:tmpl w:val="648019B0"/>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553DD6"/>
    <w:multiLevelType w:val="hybridMultilevel"/>
    <w:tmpl w:val="8FD8D096"/>
    <w:lvl w:ilvl="0" w:tplc="A97A417E">
      <w:start w:val="1"/>
      <w:numFmt w:val="decimal"/>
      <w:lvlText w:val="%1-"/>
      <w:lvlJc w:val="left"/>
      <w:pPr>
        <w:ind w:left="720" w:hanging="360"/>
      </w:pPr>
      <w:rPr>
        <w:rFonts w:asciiTheme="minorHAnsi" w:eastAsia="Times New Roman" w:hAnsiTheme="minorHAnsi" w:cstheme="minorBidi"/>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C954DDC"/>
    <w:multiLevelType w:val="hybridMultilevel"/>
    <w:tmpl w:val="CD4EB98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F2936E7"/>
    <w:multiLevelType w:val="hybridMultilevel"/>
    <w:tmpl w:val="3774E50A"/>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5976D0"/>
    <w:multiLevelType w:val="hybridMultilevel"/>
    <w:tmpl w:val="9274056C"/>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4B436C"/>
    <w:multiLevelType w:val="hybridMultilevel"/>
    <w:tmpl w:val="8DCA05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3F55F48"/>
    <w:multiLevelType w:val="hybridMultilevel"/>
    <w:tmpl w:val="3AAE7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40B2E22"/>
    <w:multiLevelType w:val="hybridMultilevel"/>
    <w:tmpl w:val="FC68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81A00"/>
    <w:multiLevelType w:val="hybridMultilevel"/>
    <w:tmpl w:val="F6AA760A"/>
    <w:lvl w:ilvl="0" w:tplc="641E39A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46EE4E05"/>
    <w:multiLevelType w:val="hybridMultilevel"/>
    <w:tmpl w:val="B2D66C9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8384EBB"/>
    <w:multiLevelType w:val="hybridMultilevel"/>
    <w:tmpl w:val="635AC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A044B1D"/>
    <w:multiLevelType w:val="hybridMultilevel"/>
    <w:tmpl w:val="97C257A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A939EB"/>
    <w:multiLevelType w:val="hybridMultilevel"/>
    <w:tmpl w:val="32042F80"/>
    <w:lvl w:ilvl="0" w:tplc="C35ADC5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D921160"/>
    <w:multiLevelType w:val="hybridMultilevel"/>
    <w:tmpl w:val="E8E2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0303AD"/>
    <w:multiLevelType w:val="hybridMultilevel"/>
    <w:tmpl w:val="59EC0690"/>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BE7127"/>
    <w:multiLevelType w:val="hybridMultilevel"/>
    <w:tmpl w:val="9048ACBA"/>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AE48CC"/>
    <w:multiLevelType w:val="hybridMultilevel"/>
    <w:tmpl w:val="EFD2D31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EB65AE"/>
    <w:multiLevelType w:val="hybridMultilevel"/>
    <w:tmpl w:val="98B86F1A"/>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5360EF"/>
    <w:multiLevelType w:val="multilevel"/>
    <w:tmpl w:val="B008A790"/>
    <w:lvl w:ilvl="0">
      <w:start w:val="1"/>
      <w:numFmt w:val="decimal"/>
      <w:lvlText w:val="%1"/>
      <w:lvlJc w:val="left"/>
      <w:pPr>
        <w:ind w:left="432" w:hanging="432"/>
      </w:p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bullet"/>
      <w:pStyle w:val="Bulletindex"/>
      <w:lvlText w:val=""/>
      <w:lvlJc w:val="left"/>
      <w:pPr>
        <w:ind w:left="1584" w:hanging="1584"/>
      </w:pPr>
      <w:rPr>
        <w:rFonts w:ascii="Wingdings" w:hAnsi="Wingdings" w:hint="default"/>
        <w:color w:val="4F81BD" w:themeColor="accent1"/>
        <w:sz w:val="32"/>
      </w:rPr>
    </w:lvl>
  </w:abstractNum>
  <w:abstractNum w:abstractNumId="37">
    <w:nsid w:val="58CA059A"/>
    <w:multiLevelType w:val="hybridMultilevel"/>
    <w:tmpl w:val="1CEE4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9F95DEB"/>
    <w:multiLevelType w:val="hybridMultilevel"/>
    <w:tmpl w:val="20C45A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4402981"/>
    <w:multiLevelType w:val="hybridMultilevel"/>
    <w:tmpl w:val="E5442832"/>
    <w:lvl w:ilvl="0" w:tplc="0FE63FB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64740E10"/>
    <w:multiLevelType w:val="hybridMultilevel"/>
    <w:tmpl w:val="E7484F50"/>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75B5E04"/>
    <w:multiLevelType w:val="hybridMultilevel"/>
    <w:tmpl w:val="0166E45A"/>
    <w:lvl w:ilvl="0" w:tplc="284C48B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681F4C86"/>
    <w:multiLevelType w:val="hybridMultilevel"/>
    <w:tmpl w:val="FD5EB9C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5E5ADB"/>
    <w:multiLevelType w:val="multilevel"/>
    <w:tmpl w:val="2EDABA1C"/>
    <w:lvl w:ilvl="0">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6D01009A"/>
    <w:multiLevelType w:val="hybridMultilevel"/>
    <w:tmpl w:val="91726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D103D13"/>
    <w:multiLevelType w:val="hybridMultilevel"/>
    <w:tmpl w:val="F4609D32"/>
    <w:lvl w:ilvl="0" w:tplc="ABB856FA">
      <w:start w:val="1"/>
      <w:numFmt w:val="bullet"/>
      <w:pStyle w:val="bulletpoin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B42853"/>
    <w:multiLevelType w:val="hybridMultilevel"/>
    <w:tmpl w:val="2A682C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4187F93"/>
    <w:multiLevelType w:val="hybridMultilevel"/>
    <w:tmpl w:val="0DA601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4471FA3"/>
    <w:multiLevelType w:val="hybridMultilevel"/>
    <w:tmpl w:val="4D54DDD6"/>
    <w:lvl w:ilvl="0" w:tplc="2286EBE6">
      <w:start w:val="1"/>
      <w:numFmt w:val="bullet"/>
      <w:pStyle w:val="bulletred"/>
      <w:lvlText w:val=""/>
      <w:lvlJc w:val="left"/>
      <w:pPr>
        <w:ind w:left="720" w:hanging="360"/>
      </w:pPr>
      <w:rPr>
        <w:rFonts w:ascii="Wingdings" w:hAnsi="Wingdings" w:hint="default"/>
      </w:rPr>
    </w:lvl>
    <w:lvl w:ilvl="1" w:tplc="5A026F50" w:tentative="1">
      <w:start w:val="1"/>
      <w:numFmt w:val="bullet"/>
      <w:lvlText w:val="o"/>
      <w:lvlJc w:val="left"/>
      <w:pPr>
        <w:ind w:left="1440" w:hanging="360"/>
      </w:pPr>
      <w:rPr>
        <w:rFonts w:ascii="Courier New" w:hAnsi="Courier New" w:cs="Courier New" w:hint="default"/>
      </w:rPr>
    </w:lvl>
    <w:lvl w:ilvl="2" w:tplc="D068C6A6" w:tentative="1">
      <w:start w:val="1"/>
      <w:numFmt w:val="bullet"/>
      <w:lvlText w:val=""/>
      <w:lvlJc w:val="left"/>
      <w:pPr>
        <w:ind w:left="2160" w:hanging="360"/>
      </w:pPr>
      <w:rPr>
        <w:rFonts w:ascii="Wingdings" w:hAnsi="Wingdings" w:hint="default"/>
      </w:rPr>
    </w:lvl>
    <w:lvl w:ilvl="3" w:tplc="4D7CEBCC" w:tentative="1">
      <w:start w:val="1"/>
      <w:numFmt w:val="bullet"/>
      <w:lvlText w:val=""/>
      <w:lvlJc w:val="left"/>
      <w:pPr>
        <w:ind w:left="2880" w:hanging="360"/>
      </w:pPr>
      <w:rPr>
        <w:rFonts w:ascii="Symbol" w:hAnsi="Symbol" w:hint="default"/>
      </w:rPr>
    </w:lvl>
    <w:lvl w:ilvl="4" w:tplc="9182D4E0" w:tentative="1">
      <w:start w:val="1"/>
      <w:numFmt w:val="bullet"/>
      <w:lvlText w:val="o"/>
      <w:lvlJc w:val="left"/>
      <w:pPr>
        <w:ind w:left="3600" w:hanging="360"/>
      </w:pPr>
      <w:rPr>
        <w:rFonts w:ascii="Courier New" w:hAnsi="Courier New" w:cs="Courier New" w:hint="default"/>
      </w:rPr>
    </w:lvl>
    <w:lvl w:ilvl="5" w:tplc="39165556" w:tentative="1">
      <w:start w:val="1"/>
      <w:numFmt w:val="bullet"/>
      <w:lvlText w:val=""/>
      <w:lvlJc w:val="left"/>
      <w:pPr>
        <w:ind w:left="4320" w:hanging="360"/>
      </w:pPr>
      <w:rPr>
        <w:rFonts w:ascii="Wingdings" w:hAnsi="Wingdings" w:hint="default"/>
      </w:rPr>
    </w:lvl>
    <w:lvl w:ilvl="6" w:tplc="14AC88E6" w:tentative="1">
      <w:start w:val="1"/>
      <w:numFmt w:val="bullet"/>
      <w:lvlText w:val=""/>
      <w:lvlJc w:val="left"/>
      <w:pPr>
        <w:ind w:left="5040" w:hanging="360"/>
      </w:pPr>
      <w:rPr>
        <w:rFonts w:ascii="Symbol" w:hAnsi="Symbol" w:hint="default"/>
      </w:rPr>
    </w:lvl>
    <w:lvl w:ilvl="7" w:tplc="761443C8" w:tentative="1">
      <w:start w:val="1"/>
      <w:numFmt w:val="bullet"/>
      <w:lvlText w:val="o"/>
      <w:lvlJc w:val="left"/>
      <w:pPr>
        <w:ind w:left="5760" w:hanging="360"/>
      </w:pPr>
      <w:rPr>
        <w:rFonts w:ascii="Courier New" w:hAnsi="Courier New" w:cs="Courier New" w:hint="default"/>
      </w:rPr>
    </w:lvl>
    <w:lvl w:ilvl="8" w:tplc="CBE842D6" w:tentative="1">
      <w:start w:val="1"/>
      <w:numFmt w:val="bullet"/>
      <w:lvlText w:val=""/>
      <w:lvlJc w:val="left"/>
      <w:pPr>
        <w:ind w:left="6480" w:hanging="360"/>
      </w:pPr>
      <w:rPr>
        <w:rFonts w:ascii="Wingdings" w:hAnsi="Wingdings" w:hint="default"/>
      </w:rPr>
    </w:lvl>
  </w:abstractNum>
  <w:abstractNum w:abstractNumId="49">
    <w:nsid w:val="74DE41E7"/>
    <w:multiLevelType w:val="multilevel"/>
    <w:tmpl w:val="B022801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754A7912"/>
    <w:multiLevelType w:val="hybridMultilevel"/>
    <w:tmpl w:val="589CCF76"/>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86D50DA"/>
    <w:multiLevelType w:val="hybridMultilevel"/>
    <w:tmpl w:val="776277F6"/>
    <w:lvl w:ilvl="0" w:tplc="080C0001">
      <w:start w:val="1"/>
      <w:numFmt w:val="bullet"/>
      <w:lvlText w:val=""/>
      <w:lvlJc w:val="left"/>
      <w:pPr>
        <w:ind w:left="535"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7A475547"/>
    <w:multiLevelType w:val="hybridMultilevel"/>
    <w:tmpl w:val="41E45860"/>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E4D149B"/>
    <w:multiLevelType w:val="hybridMultilevel"/>
    <w:tmpl w:val="5FCEDB5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8"/>
  </w:num>
  <w:num w:numId="2">
    <w:abstractNumId w:val="36"/>
  </w:num>
  <w:num w:numId="3">
    <w:abstractNumId w:val="45"/>
  </w:num>
  <w:num w:numId="4">
    <w:abstractNumId w:val="13"/>
  </w:num>
  <w:num w:numId="5">
    <w:abstractNumId w:val="0"/>
  </w:num>
  <w:num w:numId="6">
    <w:abstractNumId w:val="49"/>
  </w:num>
  <w:num w:numId="7">
    <w:abstractNumId w:val="31"/>
  </w:num>
  <w:num w:numId="8">
    <w:abstractNumId w:val="43"/>
  </w:num>
  <w:num w:numId="9">
    <w:abstractNumId w:val="28"/>
  </w:num>
  <w:num w:numId="10">
    <w:abstractNumId w:val="44"/>
  </w:num>
  <w:num w:numId="11">
    <w:abstractNumId w:val="37"/>
  </w:num>
  <w:num w:numId="12">
    <w:abstractNumId w:val="1"/>
  </w:num>
  <w:num w:numId="13">
    <w:abstractNumId w:val="29"/>
  </w:num>
  <w:num w:numId="14">
    <w:abstractNumId w:val="2"/>
  </w:num>
  <w:num w:numId="15">
    <w:abstractNumId w:val="34"/>
  </w:num>
  <w:num w:numId="16">
    <w:abstractNumId w:val="17"/>
  </w:num>
  <w:num w:numId="17">
    <w:abstractNumId w:val="30"/>
  </w:num>
  <w:num w:numId="18">
    <w:abstractNumId w:val="3"/>
  </w:num>
  <w:num w:numId="19">
    <w:abstractNumId w:val="32"/>
  </w:num>
  <w:num w:numId="20">
    <w:abstractNumId w:val="35"/>
  </w:num>
  <w:num w:numId="21">
    <w:abstractNumId w:val="50"/>
  </w:num>
  <w:num w:numId="22">
    <w:abstractNumId w:val="21"/>
  </w:num>
  <w:num w:numId="23">
    <w:abstractNumId w:val="42"/>
  </w:num>
  <w:num w:numId="24">
    <w:abstractNumId w:val="52"/>
  </w:num>
  <w:num w:numId="25">
    <w:abstractNumId w:val="22"/>
  </w:num>
  <w:num w:numId="26">
    <w:abstractNumId w:val="18"/>
  </w:num>
  <w:num w:numId="27">
    <w:abstractNumId w:val="33"/>
  </w:num>
  <w:num w:numId="28">
    <w:abstractNumId w:val="25"/>
  </w:num>
  <w:num w:numId="29">
    <w:abstractNumId w:val="24"/>
  </w:num>
  <w:num w:numId="30">
    <w:abstractNumId w:val="16"/>
  </w:num>
  <w:num w:numId="31">
    <w:abstractNumId w:val="14"/>
  </w:num>
  <w:num w:numId="32">
    <w:abstractNumId w:val="53"/>
  </w:num>
  <w:num w:numId="33">
    <w:abstractNumId w:val="27"/>
  </w:num>
  <w:num w:numId="34">
    <w:abstractNumId w:val="20"/>
  </w:num>
  <w:num w:numId="35">
    <w:abstractNumId w:val="46"/>
  </w:num>
  <w:num w:numId="36">
    <w:abstractNumId w:val="38"/>
  </w:num>
  <w:num w:numId="37">
    <w:abstractNumId w:val="23"/>
  </w:num>
  <w:num w:numId="38">
    <w:abstractNumId w:val="47"/>
  </w:num>
  <w:num w:numId="39">
    <w:abstractNumId w:val="4"/>
  </w:num>
  <w:num w:numId="40">
    <w:abstractNumId w:val="7"/>
  </w:num>
  <w:num w:numId="41">
    <w:abstractNumId w:val="11"/>
  </w:num>
  <w:num w:numId="42">
    <w:abstractNumId w:val="12"/>
  </w:num>
  <w:num w:numId="43">
    <w:abstractNumId w:val="51"/>
  </w:num>
  <w:num w:numId="44">
    <w:abstractNumId w:val="19"/>
  </w:num>
  <w:num w:numId="45">
    <w:abstractNumId w:val="5"/>
  </w:num>
  <w:num w:numId="46">
    <w:abstractNumId w:val="40"/>
  </w:num>
  <w:num w:numId="47">
    <w:abstractNumId w:val="26"/>
  </w:num>
  <w:num w:numId="48">
    <w:abstractNumId w:val="39"/>
  </w:num>
  <w:num w:numId="49">
    <w:abstractNumId w:val="10"/>
  </w:num>
  <w:num w:numId="50">
    <w:abstractNumId w:val="9"/>
  </w:num>
  <w:num w:numId="51">
    <w:abstractNumId w:val="41"/>
  </w:num>
  <w:num w:numId="52">
    <w:abstractNumId w:val="6"/>
  </w:num>
  <w:num w:numId="53">
    <w:abstractNumId w:val="15"/>
  </w:num>
  <w:num w:numId="54">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pdated" w:val="true"/>
  </w:docVars>
  <w:rsids>
    <w:rsidRoot w:val="00864EAB"/>
    <w:rsid w:val="00001A5A"/>
    <w:rsid w:val="00005780"/>
    <w:rsid w:val="00005991"/>
    <w:rsid w:val="00006F2A"/>
    <w:rsid w:val="00007DBD"/>
    <w:rsid w:val="000138C7"/>
    <w:rsid w:val="0001593F"/>
    <w:rsid w:val="00015CF9"/>
    <w:rsid w:val="00024B4A"/>
    <w:rsid w:val="0002522A"/>
    <w:rsid w:val="000256B7"/>
    <w:rsid w:val="000261C4"/>
    <w:rsid w:val="00026861"/>
    <w:rsid w:val="00030477"/>
    <w:rsid w:val="000322FE"/>
    <w:rsid w:val="0004338A"/>
    <w:rsid w:val="000437A2"/>
    <w:rsid w:val="000451A5"/>
    <w:rsid w:val="00045686"/>
    <w:rsid w:val="00053DAF"/>
    <w:rsid w:val="00056028"/>
    <w:rsid w:val="00062405"/>
    <w:rsid w:val="00062947"/>
    <w:rsid w:val="000670EB"/>
    <w:rsid w:val="000706EA"/>
    <w:rsid w:val="00070D8F"/>
    <w:rsid w:val="00071D6A"/>
    <w:rsid w:val="00071FE9"/>
    <w:rsid w:val="00072A56"/>
    <w:rsid w:val="00073A8F"/>
    <w:rsid w:val="0007451A"/>
    <w:rsid w:val="0007453F"/>
    <w:rsid w:val="000758E3"/>
    <w:rsid w:val="00077C27"/>
    <w:rsid w:val="00080279"/>
    <w:rsid w:val="00081D9B"/>
    <w:rsid w:val="00082B67"/>
    <w:rsid w:val="00082F1C"/>
    <w:rsid w:val="00084EB3"/>
    <w:rsid w:val="000922CD"/>
    <w:rsid w:val="0009467F"/>
    <w:rsid w:val="00096B88"/>
    <w:rsid w:val="00097299"/>
    <w:rsid w:val="000A5042"/>
    <w:rsid w:val="000A6BC7"/>
    <w:rsid w:val="000B08E0"/>
    <w:rsid w:val="000B0A69"/>
    <w:rsid w:val="000C016A"/>
    <w:rsid w:val="000C098B"/>
    <w:rsid w:val="000C2B01"/>
    <w:rsid w:val="000C43C1"/>
    <w:rsid w:val="000C57AB"/>
    <w:rsid w:val="000C590E"/>
    <w:rsid w:val="000C5FF6"/>
    <w:rsid w:val="000D21F7"/>
    <w:rsid w:val="000D2C78"/>
    <w:rsid w:val="000D2D52"/>
    <w:rsid w:val="000D4363"/>
    <w:rsid w:val="000D693F"/>
    <w:rsid w:val="000D7FB2"/>
    <w:rsid w:val="000E265D"/>
    <w:rsid w:val="000E35E5"/>
    <w:rsid w:val="000E6F22"/>
    <w:rsid w:val="000F5009"/>
    <w:rsid w:val="000F666A"/>
    <w:rsid w:val="000F6EFF"/>
    <w:rsid w:val="00103119"/>
    <w:rsid w:val="001035D2"/>
    <w:rsid w:val="0012191D"/>
    <w:rsid w:val="00122AEB"/>
    <w:rsid w:val="00123A69"/>
    <w:rsid w:val="00123C48"/>
    <w:rsid w:val="0012488B"/>
    <w:rsid w:val="0012743F"/>
    <w:rsid w:val="00134FA1"/>
    <w:rsid w:val="0014043F"/>
    <w:rsid w:val="001440C4"/>
    <w:rsid w:val="001468A6"/>
    <w:rsid w:val="00146E5F"/>
    <w:rsid w:val="00150A6C"/>
    <w:rsid w:val="00150F2C"/>
    <w:rsid w:val="00151E39"/>
    <w:rsid w:val="0015308D"/>
    <w:rsid w:val="001759A7"/>
    <w:rsid w:val="001826F3"/>
    <w:rsid w:val="00186C80"/>
    <w:rsid w:val="00190C40"/>
    <w:rsid w:val="0019192D"/>
    <w:rsid w:val="00195A82"/>
    <w:rsid w:val="00195F82"/>
    <w:rsid w:val="001A2945"/>
    <w:rsid w:val="001A4D2F"/>
    <w:rsid w:val="001A633C"/>
    <w:rsid w:val="001B0364"/>
    <w:rsid w:val="001B269C"/>
    <w:rsid w:val="001B68AA"/>
    <w:rsid w:val="001C001F"/>
    <w:rsid w:val="001C2456"/>
    <w:rsid w:val="001D5246"/>
    <w:rsid w:val="001D588A"/>
    <w:rsid w:val="001D6837"/>
    <w:rsid w:val="001E1A54"/>
    <w:rsid w:val="001E3925"/>
    <w:rsid w:val="001E598A"/>
    <w:rsid w:val="001F233F"/>
    <w:rsid w:val="001F6662"/>
    <w:rsid w:val="001F6F28"/>
    <w:rsid w:val="002032D8"/>
    <w:rsid w:val="00215C3D"/>
    <w:rsid w:val="00215F30"/>
    <w:rsid w:val="00217736"/>
    <w:rsid w:val="00225EE7"/>
    <w:rsid w:val="0023099A"/>
    <w:rsid w:val="00233443"/>
    <w:rsid w:val="00237BEE"/>
    <w:rsid w:val="0024369A"/>
    <w:rsid w:val="00245C8F"/>
    <w:rsid w:val="002523BE"/>
    <w:rsid w:val="00252F31"/>
    <w:rsid w:val="00257406"/>
    <w:rsid w:val="00257CCC"/>
    <w:rsid w:val="002606E1"/>
    <w:rsid w:val="00260A16"/>
    <w:rsid w:val="002614E0"/>
    <w:rsid w:val="00262C27"/>
    <w:rsid w:val="002630C6"/>
    <w:rsid w:val="00263D05"/>
    <w:rsid w:val="00266ACA"/>
    <w:rsid w:val="002712BF"/>
    <w:rsid w:val="00273031"/>
    <w:rsid w:val="00273986"/>
    <w:rsid w:val="00273DC6"/>
    <w:rsid w:val="00276BD7"/>
    <w:rsid w:val="00280A51"/>
    <w:rsid w:val="00282583"/>
    <w:rsid w:val="0028280B"/>
    <w:rsid w:val="00283B12"/>
    <w:rsid w:val="0029124A"/>
    <w:rsid w:val="002A1ACD"/>
    <w:rsid w:val="002A1C0D"/>
    <w:rsid w:val="002A201F"/>
    <w:rsid w:val="002A37C4"/>
    <w:rsid w:val="002A6405"/>
    <w:rsid w:val="002A7796"/>
    <w:rsid w:val="002B0E17"/>
    <w:rsid w:val="002B19E4"/>
    <w:rsid w:val="002B3904"/>
    <w:rsid w:val="002B78B7"/>
    <w:rsid w:val="002C3BF6"/>
    <w:rsid w:val="002C696F"/>
    <w:rsid w:val="002C721C"/>
    <w:rsid w:val="002D05ED"/>
    <w:rsid w:val="002D3C94"/>
    <w:rsid w:val="002D56DC"/>
    <w:rsid w:val="002D578F"/>
    <w:rsid w:val="002D6DF1"/>
    <w:rsid w:val="002E0069"/>
    <w:rsid w:val="002E377D"/>
    <w:rsid w:val="002E696C"/>
    <w:rsid w:val="002E6D54"/>
    <w:rsid w:val="002F0F52"/>
    <w:rsid w:val="002F3820"/>
    <w:rsid w:val="002F79A5"/>
    <w:rsid w:val="00301F74"/>
    <w:rsid w:val="00304A46"/>
    <w:rsid w:val="00307291"/>
    <w:rsid w:val="00307F8A"/>
    <w:rsid w:val="00314412"/>
    <w:rsid w:val="003154F4"/>
    <w:rsid w:val="00316EA8"/>
    <w:rsid w:val="00326075"/>
    <w:rsid w:val="003273F2"/>
    <w:rsid w:val="003300CE"/>
    <w:rsid w:val="003318FD"/>
    <w:rsid w:val="00332F6C"/>
    <w:rsid w:val="00334A29"/>
    <w:rsid w:val="0033518E"/>
    <w:rsid w:val="0033737F"/>
    <w:rsid w:val="003407F2"/>
    <w:rsid w:val="003416ED"/>
    <w:rsid w:val="00345ABD"/>
    <w:rsid w:val="00346A09"/>
    <w:rsid w:val="0035105C"/>
    <w:rsid w:val="0035110A"/>
    <w:rsid w:val="0035760C"/>
    <w:rsid w:val="003608D4"/>
    <w:rsid w:val="0036395E"/>
    <w:rsid w:val="00363F97"/>
    <w:rsid w:val="003754DA"/>
    <w:rsid w:val="003762AF"/>
    <w:rsid w:val="0037642C"/>
    <w:rsid w:val="00380B8C"/>
    <w:rsid w:val="00381CBE"/>
    <w:rsid w:val="00381CFE"/>
    <w:rsid w:val="0038256B"/>
    <w:rsid w:val="00382BD6"/>
    <w:rsid w:val="00395731"/>
    <w:rsid w:val="00396094"/>
    <w:rsid w:val="003A06CE"/>
    <w:rsid w:val="003A2D17"/>
    <w:rsid w:val="003A59C8"/>
    <w:rsid w:val="003A638A"/>
    <w:rsid w:val="003B69C8"/>
    <w:rsid w:val="003B7868"/>
    <w:rsid w:val="003C06D2"/>
    <w:rsid w:val="003C61E2"/>
    <w:rsid w:val="003D46EA"/>
    <w:rsid w:val="003D7527"/>
    <w:rsid w:val="003E06BA"/>
    <w:rsid w:val="003E2503"/>
    <w:rsid w:val="003E571A"/>
    <w:rsid w:val="003E6213"/>
    <w:rsid w:val="003E6A0A"/>
    <w:rsid w:val="003E6AA8"/>
    <w:rsid w:val="003E71FC"/>
    <w:rsid w:val="003E7680"/>
    <w:rsid w:val="003F0365"/>
    <w:rsid w:val="003F12BA"/>
    <w:rsid w:val="003F1B78"/>
    <w:rsid w:val="003F4895"/>
    <w:rsid w:val="003F6687"/>
    <w:rsid w:val="004018A2"/>
    <w:rsid w:val="004045CC"/>
    <w:rsid w:val="00404B36"/>
    <w:rsid w:val="00404E08"/>
    <w:rsid w:val="00417194"/>
    <w:rsid w:val="0042211F"/>
    <w:rsid w:val="004227D0"/>
    <w:rsid w:val="004228C8"/>
    <w:rsid w:val="004245E3"/>
    <w:rsid w:val="00427B4C"/>
    <w:rsid w:val="00431AA2"/>
    <w:rsid w:val="004326EA"/>
    <w:rsid w:val="0043543C"/>
    <w:rsid w:val="0044297F"/>
    <w:rsid w:val="0045518B"/>
    <w:rsid w:val="00457A8D"/>
    <w:rsid w:val="004609CB"/>
    <w:rsid w:val="004610D1"/>
    <w:rsid w:val="00462BBD"/>
    <w:rsid w:val="00464947"/>
    <w:rsid w:val="00466389"/>
    <w:rsid w:val="0046658E"/>
    <w:rsid w:val="004713EE"/>
    <w:rsid w:val="0047269B"/>
    <w:rsid w:val="00476272"/>
    <w:rsid w:val="00481144"/>
    <w:rsid w:val="00481B07"/>
    <w:rsid w:val="00483696"/>
    <w:rsid w:val="0048471A"/>
    <w:rsid w:val="004A256A"/>
    <w:rsid w:val="004A327D"/>
    <w:rsid w:val="004A4759"/>
    <w:rsid w:val="004A7BB1"/>
    <w:rsid w:val="004B2BD1"/>
    <w:rsid w:val="004B2E96"/>
    <w:rsid w:val="004B332D"/>
    <w:rsid w:val="004B381A"/>
    <w:rsid w:val="004B6DB8"/>
    <w:rsid w:val="004B6DCF"/>
    <w:rsid w:val="004C3C81"/>
    <w:rsid w:val="004C5B4A"/>
    <w:rsid w:val="004C750F"/>
    <w:rsid w:val="004D5D15"/>
    <w:rsid w:val="004D618D"/>
    <w:rsid w:val="004D64E3"/>
    <w:rsid w:val="004D70AC"/>
    <w:rsid w:val="004D78BE"/>
    <w:rsid w:val="004E2A4F"/>
    <w:rsid w:val="004E2BB8"/>
    <w:rsid w:val="004E2DC1"/>
    <w:rsid w:val="004F0695"/>
    <w:rsid w:val="004F2D72"/>
    <w:rsid w:val="004F4D7A"/>
    <w:rsid w:val="004F534D"/>
    <w:rsid w:val="004F66AA"/>
    <w:rsid w:val="00502365"/>
    <w:rsid w:val="005023BB"/>
    <w:rsid w:val="005038E8"/>
    <w:rsid w:val="00504B2E"/>
    <w:rsid w:val="00505102"/>
    <w:rsid w:val="00505538"/>
    <w:rsid w:val="00513F27"/>
    <w:rsid w:val="00516634"/>
    <w:rsid w:val="005171A3"/>
    <w:rsid w:val="00522820"/>
    <w:rsid w:val="00522A64"/>
    <w:rsid w:val="0052324B"/>
    <w:rsid w:val="00524E49"/>
    <w:rsid w:val="005273F4"/>
    <w:rsid w:val="00527829"/>
    <w:rsid w:val="00527B65"/>
    <w:rsid w:val="005328E5"/>
    <w:rsid w:val="00534ECF"/>
    <w:rsid w:val="00534FB9"/>
    <w:rsid w:val="00536086"/>
    <w:rsid w:val="0054167D"/>
    <w:rsid w:val="00541910"/>
    <w:rsid w:val="00543DF7"/>
    <w:rsid w:val="00550943"/>
    <w:rsid w:val="00551D42"/>
    <w:rsid w:val="00552F9C"/>
    <w:rsid w:val="00554181"/>
    <w:rsid w:val="005553CC"/>
    <w:rsid w:val="00556C01"/>
    <w:rsid w:val="005573F0"/>
    <w:rsid w:val="0056083E"/>
    <w:rsid w:val="005611D8"/>
    <w:rsid w:val="00562CEF"/>
    <w:rsid w:val="00564011"/>
    <w:rsid w:val="00564DB3"/>
    <w:rsid w:val="00565632"/>
    <w:rsid w:val="00575A02"/>
    <w:rsid w:val="00575E02"/>
    <w:rsid w:val="00593248"/>
    <w:rsid w:val="005944A4"/>
    <w:rsid w:val="00596049"/>
    <w:rsid w:val="005A08AA"/>
    <w:rsid w:val="005A155E"/>
    <w:rsid w:val="005A30C3"/>
    <w:rsid w:val="005B1074"/>
    <w:rsid w:val="005B43DD"/>
    <w:rsid w:val="005B57BA"/>
    <w:rsid w:val="005B74E0"/>
    <w:rsid w:val="005C2844"/>
    <w:rsid w:val="005C5861"/>
    <w:rsid w:val="005C71AB"/>
    <w:rsid w:val="005D1950"/>
    <w:rsid w:val="005D25F2"/>
    <w:rsid w:val="005E05EA"/>
    <w:rsid w:val="005E2A8D"/>
    <w:rsid w:val="005E555B"/>
    <w:rsid w:val="005F4690"/>
    <w:rsid w:val="005F6E2E"/>
    <w:rsid w:val="005F6F4A"/>
    <w:rsid w:val="00602279"/>
    <w:rsid w:val="0060586A"/>
    <w:rsid w:val="00606096"/>
    <w:rsid w:val="00607B3F"/>
    <w:rsid w:val="006160E4"/>
    <w:rsid w:val="00616AA1"/>
    <w:rsid w:val="00620E66"/>
    <w:rsid w:val="0062336A"/>
    <w:rsid w:val="0062712C"/>
    <w:rsid w:val="00630624"/>
    <w:rsid w:val="00631B4E"/>
    <w:rsid w:val="00635BE3"/>
    <w:rsid w:val="0064282E"/>
    <w:rsid w:val="006520E3"/>
    <w:rsid w:val="00655CC1"/>
    <w:rsid w:val="00655FF4"/>
    <w:rsid w:val="00657ACA"/>
    <w:rsid w:val="0066027F"/>
    <w:rsid w:val="00661C28"/>
    <w:rsid w:val="00663C1E"/>
    <w:rsid w:val="00663EC7"/>
    <w:rsid w:val="006705CE"/>
    <w:rsid w:val="00670A25"/>
    <w:rsid w:val="00672247"/>
    <w:rsid w:val="0067362D"/>
    <w:rsid w:val="006770D2"/>
    <w:rsid w:val="00681F07"/>
    <w:rsid w:val="0068242A"/>
    <w:rsid w:val="00683D4B"/>
    <w:rsid w:val="00684235"/>
    <w:rsid w:val="006873A6"/>
    <w:rsid w:val="0069382E"/>
    <w:rsid w:val="00695E4F"/>
    <w:rsid w:val="006974DA"/>
    <w:rsid w:val="006A0D42"/>
    <w:rsid w:val="006A3F0E"/>
    <w:rsid w:val="006A4E99"/>
    <w:rsid w:val="006A757A"/>
    <w:rsid w:val="006B1CDB"/>
    <w:rsid w:val="006B2ECC"/>
    <w:rsid w:val="006B3C29"/>
    <w:rsid w:val="006C0966"/>
    <w:rsid w:val="006C2BE5"/>
    <w:rsid w:val="006C7552"/>
    <w:rsid w:val="006D0B3E"/>
    <w:rsid w:val="006D1121"/>
    <w:rsid w:val="006D3672"/>
    <w:rsid w:val="006D3BCC"/>
    <w:rsid w:val="006D3DA8"/>
    <w:rsid w:val="006D4662"/>
    <w:rsid w:val="006F1EB9"/>
    <w:rsid w:val="006F389C"/>
    <w:rsid w:val="006F4D87"/>
    <w:rsid w:val="00700F0E"/>
    <w:rsid w:val="00702BF1"/>
    <w:rsid w:val="007035F8"/>
    <w:rsid w:val="00705E56"/>
    <w:rsid w:val="00711801"/>
    <w:rsid w:val="007127CC"/>
    <w:rsid w:val="00714D8C"/>
    <w:rsid w:val="0071556B"/>
    <w:rsid w:val="0072042B"/>
    <w:rsid w:val="00720F87"/>
    <w:rsid w:val="0072192A"/>
    <w:rsid w:val="00726E55"/>
    <w:rsid w:val="00727587"/>
    <w:rsid w:val="00730012"/>
    <w:rsid w:val="00735ADE"/>
    <w:rsid w:val="007368F6"/>
    <w:rsid w:val="00742D02"/>
    <w:rsid w:val="00744279"/>
    <w:rsid w:val="007447CB"/>
    <w:rsid w:val="00746FD8"/>
    <w:rsid w:val="00750D28"/>
    <w:rsid w:val="00751082"/>
    <w:rsid w:val="00751BB4"/>
    <w:rsid w:val="00752C30"/>
    <w:rsid w:val="0075450F"/>
    <w:rsid w:val="007547F1"/>
    <w:rsid w:val="00754E5A"/>
    <w:rsid w:val="00756EAE"/>
    <w:rsid w:val="00761B7F"/>
    <w:rsid w:val="00763288"/>
    <w:rsid w:val="00766971"/>
    <w:rsid w:val="00766EAE"/>
    <w:rsid w:val="0077001E"/>
    <w:rsid w:val="007706C9"/>
    <w:rsid w:val="007740A4"/>
    <w:rsid w:val="00775F70"/>
    <w:rsid w:val="007762EE"/>
    <w:rsid w:val="00777ED5"/>
    <w:rsid w:val="00780213"/>
    <w:rsid w:val="00781991"/>
    <w:rsid w:val="007824D6"/>
    <w:rsid w:val="007841F8"/>
    <w:rsid w:val="007848F2"/>
    <w:rsid w:val="007849CE"/>
    <w:rsid w:val="00786C18"/>
    <w:rsid w:val="00792DCE"/>
    <w:rsid w:val="00794A52"/>
    <w:rsid w:val="00794EFE"/>
    <w:rsid w:val="0079583E"/>
    <w:rsid w:val="00795ADB"/>
    <w:rsid w:val="00797913"/>
    <w:rsid w:val="007A07AB"/>
    <w:rsid w:val="007A26F3"/>
    <w:rsid w:val="007A2F4E"/>
    <w:rsid w:val="007B0E03"/>
    <w:rsid w:val="007B1A7A"/>
    <w:rsid w:val="007B1DC8"/>
    <w:rsid w:val="007B31BD"/>
    <w:rsid w:val="007B4C01"/>
    <w:rsid w:val="007B520C"/>
    <w:rsid w:val="007C01B6"/>
    <w:rsid w:val="007C0999"/>
    <w:rsid w:val="007C1627"/>
    <w:rsid w:val="007C2E30"/>
    <w:rsid w:val="007C4B6D"/>
    <w:rsid w:val="007D2D8B"/>
    <w:rsid w:val="007D6119"/>
    <w:rsid w:val="007E156D"/>
    <w:rsid w:val="007E2495"/>
    <w:rsid w:val="007E5DFF"/>
    <w:rsid w:val="007F0D17"/>
    <w:rsid w:val="007F22B2"/>
    <w:rsid w:val="00803775"/>
    <w:rsid w:val="008051A1"/>
    <w:rsid w:val="008104BB"/>
    <w:rsid w:val="00811EBC"/>
    <w:rsid w:val="008221C7"/>
    <w:rsid w:val="008226B4"/>
    <w:rsid w:val="0082495F"/>
    <w:rsid w:val="008265FB"/>
    <w:rsid w:val="0082785B"/>
    <w:rsid w:val="00832979"/>
    <w:rsid w:val="00836911"/>
    <w:rsid w:val="008419DC"/>
    <w:rsid w:val="00844797"/>
    <w:rsid w:val="008472B3"/>
    <w:rsid w:val="00855723"/>
    <w:rsid w:val="00862F72"/>
    <w:rsid w:val="00864EAB"/>
    <w:rsid w:val="00866310"/>
    <w:rsid w:val="00866ED7"/>
    <w:rsid w:val="00873A76"/>
    <w:rsid w:val="008744D6"/>
    <w:rsid w:val="00875B0A"/>
    <w:rsid w:val="00876FD1"/>
    <w:rsid w:val="00877EDF"/>
    <w:rsid w:val="008835D1"/>
    <w:rsid w:val="0088414D"/>
    <w:rsid w:val="00885ABA"/>
    <w:rsid w:val="00886437"/>
    <w:rsid w:val="00886455"/>
    <w:rsid w:val="00886D03"/>
    <w:rsid w:val="00887110"/>
    <w:rsid w:val="00887154"/>
    <w:rsid w:val="00890E17"/>
    <w:rsid w:val="00891222"/>
    <w:rsid w:val="00891E44"/>
    <w:rsid w:val="00893B69"/>
    <w:rsid w:val="008968FB"/>
    <w:rsid w:val="008A3520"/>
    <w:rsid w:val="008A75D1"/>
    <w:rsid w:val="008B0E16"/>
    <w:rsid w:val="008B430B"/>
    <w:rsid w:val="008B72AF"/>
    <w:rsid w:val="008C1C7F"/>
    <w:rsid w:val="008C1F61"/>
    <w:rsid w:val="008C28A9"/>
    <w:rsid w:val="008C769B"/>
    <w:rsid w:val="008D3C85"/>
    <w:rsid w:val="008E227F"/>
    <w:rsid w:val="008E68FB"/>
    <w:rsid w:val="008E6C63"/>
    <w:rsid w:val="008E7E1D"/>
    <w:rsid w:val="008F0055"/>
    <w:rsid w:val="008F602C"/>
    <w:rsid w:val="009030C0"/>
    <w:rsid w:val="009105CA"/>
    <w:rsid w:val="00910DDF"/>
    <w:rsid w:val="009128FE"/>
    <w:rsid w:val="00924925"/>
    <w:rsid w:val="009256E9"/>
    <w:rsid w:val="0092748F"/>
    <w:rsid w:val="00931CB8"/>
    <w:rsid w:val="0093260C"/>
    <w:rsid w:val="00932C25"/>
    <w:rsid w:val="00932C40"/>
    <w:rsid w:val="00932FE6"/>
    <w:rsid w:val="009333DA"/>
    <w:rsid w:val="00934326"/>
    <w:rsid w:val="00935B18"/>
    <w:rsid w:val="00935D14"/>
    <w:rsid w:val="00937D3C"/>
    <w:rsid w:val="00941711"/>
    <w:rsid w:val="009478A8"/>
    <w:rsid w:val="009504C0"/>
    <w:rsid w:val="00950BEE"/>
    <w:rsid w:val="009527C8"/>
    <w:rsid w:val="00953006"/>
    <w:rsid w:val="00953F88"/>
    <w:rsid w:val="009547BB"/>
    <w:rsid w:val="0095703F"/>
    <w:rsid w:val="00957398"/>
    <w:rsid w:val="00957A86"/>
    <w:rsid w:val="009637E6"/>
    <w:rsid w:val="00966BFD"/>
    <w:rsid w:val="0097419F"/>
    <w:rsid w:val="00976C88"/>
    <w:rsid w:val="00985B03"/>
    <w:rsid w:val="00985C5B"/>
    <w:rsid w:val="00985E0E"/>
    <w:rsid w:val="00986503"/>
    <w:rsid w:val="009879DF"/>
    <w:rsid w:val="00992DB1"/>
    <w:rsid w:val="00993BA3"/>
    <w:rsid w:val="00994282"/>
    <w:rsid w:val="009C141F"/>
    <w:rsid w:val="009C1F6F"/>
    <w:rsid w:val="009C3B5C"/>
    <w:rsid w:val="009C4108"/>
    <w:rsid w:val="009C51E7"/>
    <w:rsid w:val="009C53FE"/>
    <w:rsid w:val="009D0804"/>
    <w:rsid w:val="009D0A28"/>
    <w:rsid w:val="009D10AA"/>
    <w:rsid w:val="009D32C5"/>
    <w:rsid w:val="009D42EA"/>
    <w:rsid w:val="009D4B40"/>
    <w:rsid w:val="009E05FD"/>
    <w:rsid w:val="009E3409"/>
    <w:rsid w:val="009F3089"/>
    <w:rsid w:val="009F4946"/>
    <w:rsid w:val="009F5294"/>
    <w:rsid w:val="009F56F3"/>
    <w:rsid w:val="009F62A2"/>
    <w:rsid w:val="00A01653"/>
    <w:rsid w:val="00A04CD9"/>
    <w:rsid w:val="00A07D79"/>
    <w:rsid w:val="00A1208D"/>
    <w:rsid w:val="00A15831"/>
    <w:rsid w:val="00A1702D"/>
    <w:rsid w:val="00A20438"/>
    <w:rsid w:val="00A22F9E"/>
    <w:rsid w:val="00A231CA"/>
    <w:rsid w:val="00A257D8"/>
    <w:rsid w:val="00A2694C"/>
    <w:rsid w:val="00A325AE"/>
    <w:rsid w:val="00A36405"/>
    <w:rsid w:val="00A405F7"/>
    <w:rsid w:val="00A4118A"/>
    <w:rsid w:val="00A414A4"/>
    <w:rsid w:val="00A4344A"/>
    <w:rsid w:val="00A43FBD"/>
    <w:rsid w:val="00A472D7"/>
    <w:rsid w:val="00A47C5C"/>
    <w:rsid w:val="00A50CE0"/>
    <w:rsid w:val="00A53DBE"/>
    <w:rsid w:val="00A556A2"/>
    <w:rsid w:val="00A5584E"/>
    <w:rsid w:val="00A55AD6"/>
    <w:rsid w:val="00A55FF2"/>
    <w:rsid w:val="00A57A2E"/>
    <w:rsid w:val="00A57C18"/>
    <w:rsid w:val="00A60D68"/>
    <w:rsid w:val="00A63397"/>
    <w:rsid w:val="00A66893"/>
    <w:rsid w:val="00A7060D"/>
    <w:rsid w:val="00A708CF"/>
    <w:rsid w:val="00A80F25"/>
    <w:rsid w:val="00A82B87"/>
    <w:rsid w:val="00A83C8A"/>
    <w:rsid w:val="00A905D4"/>
    <w:rsid w:val="00A942C7"/>
    <w:rsid w:val="00A94769"/>
    <w:rsid w:val="00A9547F"/>
    <w:rsid w:val="00A9646D"/>
    <w:rsid w:val="00AA1A19"/>
    <w:rsid w:val="00AA3CF9"/>
    <w:rsid w:val="00AC313D"/>
    <w:rsid w:val="00AC4D71"/>
    <w:rsid w:val="00AC7479"/>
    <w:rsid w:val="00AC7CBE"/>
    <w:rsid w:val="00AC7E39"/>
    <w:rsid w:val="00AD08D2"/>
    <w:rsid w:val="00AD1BF4"/>
    <w:rsid w:val="00AD2AF3"/>
    <w:rsid w:val="00AD33B0"/>
    <w:rsid w:val="00AD6C2E"/>
    <w:rsid w:val="00AD6D51"/>
    <w:rsid w:val="00AD7638"/>
    <w:rsid w:val="00AE0FEA"/>
    <w:rsid w:val="00AE2D16"/>
    <w:rsid w:val="00AE5C53"/>
    <w:rsid w:val="00AE7399"/>
    <w:rsid w:val="00AE7988"/>
    <w:rsid w:val="00AF0B59"/>
    <w:rsid w:val="00AF1B5D"/>
    <w:rsid w:val="00AF48D2"/>
    <w:rsid w:val="00AF6AC7"/>
    <w:rsid w:val="00AF7D54"/>
    <w:rsid w:val="00B06CCC"/>
    <w:rsid w:val="00B127DA"/>
    <w:rsid w:val="00B13FFC"/>
    <w:rsid w:val="00B1412B"/>
    <w:rsid w:val="00B141E4"/>
    <w:rsid w:val="00B14955"/>
    <w:rsid w:val="00B20321"/>
    <w:rsid w:val="00B20828"/>
    <w:rsid w:val="00B218F9"/>
    <w:rsid w:val="00B24F29"/>
    <w:rsid w:val="00B300DB"/>
    <w:rsid w:val="00B3061C"/>
    <w:rsid w:val="00B31C3D"/>
    <w:rsid w:val="00B32A57"/>
    <w:rsid w:val="00B3306C"/>
    <w:rsid w:val="00B34341"/>
    <w:rsid w:val="00B4222C"/>
    <w:rsid w:val="00B44797"/>
    <w:rsid w:val="00B45D18"/>
    <w:rsid w:val="00B46050"/>
    <w:rsid w:val="00B463A9"/>
    <w:rsid w:val="00B47C34"/>
    <w:rsid w:val="00B47E7C"/>
    <w:rsid w:val="00B5040D"/>
    <w:rsid w:val="00B537EE"/>
    <w:rsid w:val="00B539F1"/>
    <w:rsid w:val="00B6641B"/>
    <w:rsid w:val="00B66ADB"/>
    <w:rsid w:val="00B70100"/>
    <w:rsid w:val="00B72E3C"/>
    <w:rsid w:val="00B75CA9"/>
    <w:rsid w:val="00B773C7"/>
    <w:rsid w:val="00B86511"/>
    <w:rsid w:val="00B90250"/>
    <w:rsid w:val="00B961D8"/>
    <w:rsid w:val="00B97812"/>
    <w:rsid w:val="00BA13C5"/>
    <w:rsid w:val="00BA1F83"/>
    <w:rsid w:val="00BB10B6"/>
    <w:rsid w:val="00BB3F39"/>
    <w:rsid w:val="00BB64FD"/>
    <w:rsid w:val="00BB7A1A"/>
    <w:rsid w:val="00BC396E"/>
    <w:rsid w:val="00BC63FA"/>
    <w:rsid w:val="00BD18EE"/>
    <w:rsid w:val="00BD56D1"/>
    <w:rsid w:val="00BE43C8"/>
    <w:rsid w:val="00BE5487"/>
    <w:rsid w:val="00BF367F"/>
    <w:rsid w:val="00BF4996"/>
    <w:rsid w:val="00BF6A5A"/>
    <w:rsid w:val="00C027A2"/>
    <w:rsid w:val="00C045D6"/>
    <w:rsid w:val="00C04A19"/>
    <w:rsid w:val="00C061DD"/>
    <w:rsid w:val="00C06D08"/>
    <w:rsid w:val="00C075FB"/>
    <w:rsid w:val="00C1086D"/>
    <w:rsid w:val="00C12901"/>
    <w:rsid w:val="00C1292F"/>
    <w:rsid w:val="00C13CB9"/>
    <w:rsid w:val="00C15FBE"/>
    <w:rsid w:val="00C1649C"/>
    <w:rsid w:val="00C16F07"/>
    <w:rsid w:val="00C173DF"/>
    <w:rsid w:val="00C23AA1"/>
    <w:rsid w:val="00C26C05"/>
    <w:rsid w:val="00C3109C"/>
    <w:rsid w:val="00C33B68"/>
    <w:rsid w:val="00C35130"/>
    <w:rsid w:val="00C36CB5"/>
    <w:rsid w:val="00C36D4D"/>
    <w:rsid w:val="00C370D0"/>
    <w:rsid w:val="00C406B0"/>
    <w:rsid w:val="00C4595A"/>
    <w:rsid w:val="00C4741D"/>
    <w:rsid w:val="00C47640"/>
    <w:rsid w:val="00C47B58"/>
    <w:rsid w:val="00C515D8"/>
    <w:rsid w:val="00C53C47"/>
    <w:rsid w:val="00C54E1C"/>
    <w:rsid w:val="00C54FC7"/>
    <w:rsid w:val="00C55734"/>
    <w:rsid w:val="00C57257"/>
    <w:rsid w:val="00C653C5"/>
    <w:rsid w:val="00C65766"/>
    <w:rsid w:val="00C65F06"/>
    <w:rsid w:val="00C71FC9"/>
    <w:rsid w:val="00C72C9A"/>
    <w:rsid w:val="00C743BB"/>
    <w:rsid w:val="00C81A23"/>
    <w:rsid w:val="00C832B5"/>
    <w:rsid w:val="00C85C1D"/>
    <w:rsid w:val="00C8771B"/>
    <w:rsid w:val="00C91292"/>
    <w:rsid w:val="00C91505"/>
    <w:rsid w:val="00C92970"/>
    <w:rsid w:val="00C9309E"/>
    <w:rsid w:val="00C93264"/>
    <w:rsid w:val="00C962CB"/>
    <w:rsid w:val="00C97E1A"/>
    <w:rsid w:val="00CA1B53"/>
    <w:rsid w:val="00CA2932"/>
    <w:rsid w:val="00CA70CC"/>
    <w:rsid w:val="00CB093D"/>
    <w:rsid w:val="00CB23BD"/>
    <w:rsid w:val="00CB3107"/>
    <w:rsid w:val="00CB7B69"/>
    <w:rsid w:val="00CC5AC5"/>
    <w:rsid w:val="00CC6DE6"/>
    <w:rsid w:val="00CD07E3"/>
    <w:rsid w:val="00CD1386"/>
    <w:rsid w:val="00CD2541"/>
    <w:rsid w:val="00CD2C69"/>
    <w:rsid w:val="00CD3263"/>
    <w:rsid w:val="00CD3DDA"/>
    <w:rsid w:val="00CD538C"/>
    <w:rsid w:val="00CD7350"/>
    <w:rsid w:val="00CD7859"/>
    <w:rsid w:val="00CE0637"/>
    <w:rsid w:val="00CE3DA4"/>
    <w:rsid w:val="00CE500B"/>
    <w:rsid w:val="00CE6A02"/>
    <w:rsid w:val="00CE6A09"/>
    <w:rsid w:val="00CE6F56"/>
    <w:rsid w:val="00CE761C"/>
    <w:rsid w:val="00CF12E6"/>
    <w:rsid w:val="00CF1A23"/>
    <w:rsid w:val="00CF4050"/>
    <w:rsid w:val="00CF7146"/>
    <w:rsid w:val="00D005C9"/>
    <w:rsid w:val="00D0499B"/>
    <w:rsid w:val="00D138E5"/>
    <w:rsid w:val="00D1422E"/>
    <w:rsid w:val="00D1758A"/>
    <w:rsid w:val="00D2111A"/>
    <w:rsid w:val="00D238A8"/>
    <w:rsid w:val="00D26B8B"/>
    <w:rsid w:val="00D27D6D"/>
    <w:rsid w:val="00D30873"/>
    <w:rsid w:val="00D32DBE"/>
    <w:rsid w:val="00D3607B"/>
    <w:rsid w:val="00D50D12"/>
    <w:rsid w:val="00D54888"/>
    <w:rsid w:val="00D560F4"/>
    <w:rsid w:val="00D57929"/>
    <w:rsid w:val="00D66599"/>
    <w:rsid w:val="00D71ADB"/>
    <w:rsid w:val="00D7331B"/>
    <w:rsid w:val="00D73E70"/>
    <w:rsid w:val="00D814EE"/>
    <w:rsid w:val="00D8394B"/>
    <w:rsid w:val="00D845E1"/>
    <w:rsid w:val="00D85A58"/>
    <w:rsid w:val="00D871AF"/>
    <w:rsid w:val="00D913C9"/>
    <w:rsid w:val="00D9172A"/>
    <w:rsid w:val="00D9186D"/>
    <w:rsid w:val="00DA12D7"/>
    <w:rsid w:val="00DA3922"/>
    <w:rsid w:val="00DA5A79"/>
    <w:rsid w:val="00DA74F3"/>
    <w:rsid w:val="00DB44AC"/>
    <w:rsid w:val="00DD0B59"/>
    <w:rsid w:val="00DD2430"/>
    <w:rsid w:val="00DD27C4"/>
    <w:rsid w:val="00DD30C5"/>
    <w:rsid w:val="00DD48A4"/>
    <w:rsid w:val="00DD5F74"/>
    <w:rsid w:val="00DE1BAC"/>
    <w:rsid w:val="00DE47DA"/>
    <w:rsid w:val="00DE58FA"/>
    <w:rsid w:val="00DF3E72"/>
    <w:rsid w:val="00DF4FD6"/>
    <w:rsid w:val="00DF7731"/>
    <w:rsid w:val="00DF7878"/>
    <w:rsid w:val="00DF7EE3"/>
    <w:rsid w:val="00E049AC"/>
    <w:rsid w:val="00E05328"/>
    <w:rsid w:val="00E111B8"/>
    <w:rsid w:val="00E11317"/>
    <w:rsid w:val="00E114FC"/>
    <w:rsid w:val="00E139D8"/>
    <w:rsid w:val="00E16054"/>
    <w:rsid w:val="00E167B4"/>
    <w:rsid w:val="00E21D6F"/>
    <w:rsid w:val="00E2311A"/>
    <w:rsid w:val="00E2433A"/>
    <w:rsid w:val="00E24FCE"/>
    <w:rsid w:val="00E34B4A"/>
    <w:rsid w:val="00E35615"/>
    <w:rsid w:val="00E375B7"/>
    <w:rsid w:val="00E4023D"/>
    <w:rsid w:val="00E40665"/>
    <w:rsid w:val="00E44638"/>
    <w:rsid w:val="00E45451"/>
    <w:rsid w:val="00E46EF8"/>
    <w:rsid w:val="00E47358"/>
    <w:rsid w:val="00E47C20"/>
    <w:rsid w:val="00E5022F"/>
    <w:rsid w:val="00E50E4F"/>
    <w:rsid w:val="00E52C5D"/>
    <w:rsid w:val="00E578B3"/>
    <w:rsid w:val="00E60320"/>
    <w:rsid w:val="00E609CC"/>
    <w:rsid w:val="00E77255"/>
    <w:rsid w:val="00E778E2"/>
    <w:rsid w:val="00E8042A"/>
    <w:rsid w:val="00E80D7E"/>
    <w:rsid w:val="00E838DC"/>
    <w:rsid w:val="00E86690"/>
    <w:rsid w:val="00E90160"/>
    <w:rsid w:val="00E9019A"/>
    <w:rsid w:val="00E91FCA"/>
    <w:rsid w:val="00E92F47"/>
    <w:rsid w:val="00E9783B"/>
    <w:rsid w:val="00EA2030"/>
    <w:rsid w:val="00EA242A"/>
    <w:rsid w:val="00EA4C9B"/>
    <w:rsid w:val="00EA6E95"/>
    <w:rsid w:val="00EA7259"/>
    <w:rsid w:val="00EB0575"/>
    <w:rsid w:val="00EB1BE0"/>
    <w:rsid w:val="00EB1D83"/>
    <w:rsid w:val="00EB2E28"/>
    <w:rsid w:val="00EB53C0"/>
    <w:rsid w:val="00EB5D23"/>
    <w:rsid w:val="00EB6025"/>
    <w:rsid w:val="00EB6ECC"/>
    <w:rsid w:val="00EC0540"/>
    <w:rsid w:val="00EC1D17"/>
    <w:rsid w:val="00EC2C74"/>
    <w:rsid w:val="00EC38D5"/>
    <w:rsid w:val="00EC399F"/>
    <w:rsid w:val="00EC4BAF"/>
    <w:rsid w:val="00ED0531"/>
    <w:rsid w:val="00ED43FE"/>
    <w:rsid w:val="00ED778D"/>
    <w:rsid w:val="00ED7CAB"/>
    <w:rsid w:val="00EE035A"/>
    <w:rsid w:val="00EE0FA3"/>
    <w:rsid w:val="00EE6A33"/>
    <w:rsid w:val="00EE6C34"/>
    <w:rsid w:val="00EE6C37"/>
    <w:rsid w:val="00EE6DCA"/>
    <w:rsid w:val="00EF0321"/>
    <w:rsid w:val="00EF5B13"/>
    <w:rsid w:val="00F01331"/>
    <w:rsid w:val="00F03536"/>
    <w:rsid w:val="00F07FFC"/>
    <w:rsid w:val="00F107AC"/>
    <w:rsid w:val="00F120BE"/>
    <w:rsid w:val="00F122E7"/>
    <w:rsid w:val="00F1437B"/>
    <w:rsid w:val="00F14FF4"/>
    <w:rsid w:val="00F20403"/>
    <w:rsid w:val="00F20429"/>
    <w:rsid w:val="00F21900"/>
    <w:rsid w:val="00F24D6B"/>
    <w:rsid w:val="00F25FA0"/>
    <w:rsid w:val="00F2628A"/>
    <w:rsid w:val="00F31150"/>
    <w:rsid w:val="00F315F0"/>
    <w:rsid w:val="00F322DC"/>
    <w:rsid w:val="00F368DF"/>
    <w:rsid w:val="00F40091"/>
    <w:rsid w:val="00F40888"/>
    <w:rsid w:val="00F418B6"/>
    <w:rsid w:val="00F41E58"/>
    <w:rsid w:val="00F4500F"/>
    <w:rsid w:val="00F51AA9"/>
    <w:rsid w:val="00F51DC2"/>
    <w:rsid w:val="00F55A65"/>
    <w:rsid w:val="00F567B9"/>
    <w:rsid w:val="00F60199"/>
    <w:rsid w:val="00F602DD"/>
    <w:rsid w:val="00F614CE"/>
    <w:rsid w:val="00F6219B"/>
    <w:rsid w:val="00F62A65"/>
    <w:rsid w:val="00F6318D"/>
    <w:rsid w:val="00F71087"/>
    <w:rsid w:val="00F72975"/>
    <w:rsid w:val="00F73520"/>
    <w:rsid w:val="00F73B3D"/>
    <w:rsid w:val="00F7433D"/>
    <w:rsid w:val="00F74579"/>
    <w:rsid w:val="00F82E9F"/>
    <w:rsid w:val="00F83A00"/>
    <w:rsid w:val="00F87564"/>
    <w:rsid w:val="00F87B9D"/>
    <w:rsid w:val="00FA1546"/>
    <w:rsid w:val="00FA5A24"/>
    <w:rsid w:val="00FA6C21"/>
    <w:rsid w:val="00FA6FB8"/>
    <w:rsid w:val="00FA7B62"/>
    <w:rsid w:val="00FA7E7F"/>
    <w:rsid w:val="00FB097E"/>
    <w:rsid w:val="00FB0D75"/>
    <w:rsid w:val="00FB196B"/>
    <w:rsid w:val="00FB1D0C"/>
    <w:rsid w:val="00FB20DE"/>
    <w:rsid w:val="00FB41E4"/>
    <w:rsid w:val="00FB4A35"/>
    <w:rsid w:val="00FB7AD7"/>
    <w:rsid w:val="00FC354B"/>
    <w:rsid w:val="00FC67DF"/>
    <w:rsid w:val="00FC685A"/>
    <w:rsid w:val="00FD1735"/>
    <w:rsid w:val="00FD2E7C"/>
    <w:rsid w:val="00FD61D5"/>
    <w:rsid w:val="00FD7C8A"/>
    <w:rsid w:val="00FE667F"/>
    <w:rsid w:val="00FF01F6"/>
    <w:rsid w:val="00FF2062"/>
    <w:rsid w:val="00FF2F7C"/>
    <w:rsid w:val="00FF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ind w:left="720"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C0"/>
    <w:pPr>
      <w:spacing w:before="120" w:after="0"/>
      <w:ind w:left="0" w:firstLine="0"/>
    </w:pPr>
    <w:rPr>
      <w:lang w:val="fr-FR"/>
    </w:rPr>
  </w:style>
  <w:style w:type="paragraph" w:styleId="Heading1">
    <w:name w:val="heading 1"/>
    <w:basedOn w:val="Normal"/>
    <w:next w:val="Normal"/>
    <w:link w:val="Heading1Char"/>
    <w:uiPriority w:val="9"/>
    <w:qFormat/>
    <w:rsid w:val="00864EAB"/>
    <w:pPr>
      <w:keepNext/>
      <w:keepLines/>
      <w:spacing w:before="480"/>
      <w:outlineLvl w:val="0"/>
    </w:pPr>
    <w:rPr>
      <w:rFonts w:eastAsiaTheme="majorEastAsia" w:cstheme="majorBidi"/>
      <w:b/>
      <w:bCs/>
      <w:color w:val="365F91" w:themeColor="accent1" w:themeShade="BF"/>
      <w:sz w:val="32"/>
      <w:szCs w:val="32"/>
      <w:lang w:val="en-GB"/>
    </w:rPr>
  </w:style>
  <w:style w:type="paragraph" w:styleId="Heading2">
    <w:name w:val="heading 2"/>
    <w:basedOn w:val="Normal"/>
    <w:next w:val="Normal"/>
    <w:link w:val="Heading2Char"/>
    <w:uiPriority w:val="9"/>
    <w:unhideWhenUsed/>
    <w:qFormat/>
    <w:rsid w:val="00864EAB"/>
    <w:pPr>
      <w:keepNext/>
      <w:keepLines/>
      <w:spacing w:before="200"/>
      <w:outlineLvl w:val="1"/>
    </w:pPr>
    <w:rPr>
      <w:rFonts w:eastAsiaTheme="majorEastAsia"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864E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4EAB"/>
    <w:pPr>
      <w:keepNext/>
      <w:keepLines/>
      <w:spacing w:before="20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unhideWhenUsed/>
    <w:qFormat/>
    <w:rsid w:val="00864E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4EA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4EA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4E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4E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EAB"/>
    <w:rPr>
      <w:rFonts w:eastAsiaTheme="majorEastAsia" w:cstheme="majorBidi"/>
      <w:b/>
      <w:bCs/>
      <w:color w:val="365F91" w:themeColor="accent1" w:themeShade="BF"/>
      <w:sz w:val="32"/>
      <w:szCs w:val="32"/>
    </w:rPr>
  </w:style>
  <w:style w:type="character" w:customStyle="1" w:styleId="Heading2Char">
    <w:name w:val="Heading 2 Char"/>
    <w:basedOn w:val="DefaultParagraphFont"/>
    <w:link w:val="Heading2"/>
    <w:uiPriority w:val="9"/>
    <w:rsid w:val="00864EA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864EAB"/>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864E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4EAB"/>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864EAB"/>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864EAB"/>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864EAB"/>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864EAB"/>
    <w:rPr>
      <w:rFonts w:asciiTheme="majorHAnsi" w:eastAsiaTheme="majorEastAsia" w:hAnsiTheme="majorHAnsi" w:cstheme="majorBidi"/>
      <w:i/>
      <w:iCs/>
      <w:color w:val="404040" w:themeColor="text1" w:themeTint="BF"/>
      <w:sz w:val="20"/>
      <w:szCs w:val="20"/>
      <w:lang w:val="fr-FR"/>
    </w:rPr>
  </w:style>
  <w:style w:type="paragraph" w:styleId="TOC1">
    <w:name w:val="toc 1"/>
    <w:basedOn w:val="Normal"/>
    <w:next w:val="Normal"/>
    <w:autoRedefine/>
    <w:uiPriority w:val="39"/>
    <w:unhideWhenUsed/>
    <w:rsid w:val="002B3904"/>
    <w:pPr>
      <w:tabs>
        <w:tab w:val="left" w:pos="440"/>
        <w:tab w:val="right" w:leader="dot" w:pos="9639"/>
      </w:tabs>
      <w:spacing w:before="220" w:after="100"/>
      <w:ind w:left="425" w:right="709" w:hanging="425"/>
    </w:pPr>
    <w:rPr>
      <w:b/>
      <w:color w:val="4F81BD" w:themeColor="accent1"/>
    </w:rPr>
  </w:style>
  <w:style w:type="paragraph" w:styleId="TOC2">
    <w:name w:val="toc 2"/>
    <w:basedOn w:val="Normal"/>
    <w:next w:val="Normal"/>
    <w:autoRedefine/>
    <w:uiPriority w:val="39"/>
    <w:unhideWhenUsed/>
    <w:rsid w:val="00864EAB"/>
    <w:pPr>
      <w:tabs>
        <w:tab w:val="left" w:pos="880"/>
        <w:tab w:val="right" w:leader="dot" w:pos="9628"/>
      </w:tabs>
      <w:spacing w:before="0"/>
      <w:ind w:left="425"/>
    </w:pPr>
  </w:style>
  <w:style w:type="paragraph" w:styleId="TOC3">
    <w:name w:val="toc 3"/>
    <w:basedOn w:val="Normal"/>
    <w:next w:val="Normal"/>
    <w:autoRedefine/>
    <w:uiPriority w:val="39"/>
    <w:unhideWhenUsed/>
    <w:rsid w:val="00864EAB"/>
    <w:pPr>
      <w:spacing w:after="100"/>
      <w:ind w:left="440"/>
    </w:pPr>
    <w:rPr>
      <w:sz w:val="20"/>
    </w:rPr>
  </w:style>
  <w:style w:type="paragraph" w:styleId="Title">
    <w:name w:val="Title"/>
    <w:basedOn w:val="Normal"/>
    <w:next w:val="Normal"/>
    <w:link w:val="TitleChar"/>
    <w:uiPriority w:val="10"/>
    <w:qFormat/>
    <w:rsid w:val="00864EA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864EAB"/>
    <w:rPr>
      <w:rFonts w:asciiTheme="majorHAnsi" w:eastAsiaTheme="majorEastAsia" w:hAnsiTheme="majorHAnsi" w:cstheme="majorBidi"/>
      <w:color w:val="17365D" w:themeColor="text2" w:themeShade="BF"/>
      <w:spacing w:val="5"/>
      <w:kern w:val="28"/>
      <w:sz w:val="40"/>
      <w:szCs w:val="52"/>
      <w:lang w:val="fr-FR"/>
    </w:rPr>
  </w:style>
  <w:style w:type="paragraph" w:styleId="ListParagraph">
    <w:name w:val="List Paragraph"/>
    <w:basedOn w:val="Normal"/>
    <w:link w:val="ListParagraphChar"/>
    <w:uiPriority w:val="34"/>
    <w:qFormat/>
    <w:rsid w:val="00864EAB"/>
    <w:pPr>
      <w:ind w:left="720"/>
      <w:contextualSpacing/>
    </w:pPr>
  </w:style>
  <w:style w:type="character" w:customStyle="1" w:styleId="ListParagraphChar">
    <w:name w:val="List Paragraph Char"/>
    <w:basedOn w:val="DefaultParagraphFont"/>
    <w:link w:val="ListParagraph"/>
    <w:uiPriority w:val="34"/>
    <w:locked/>
    <w:rsid w:val="00864EAB"/>
    <w:rPr>
      <w:lang w:val="fr-FR"/>
    </w:rPr>
  </w:style>
  <w:style w:type="character" w:customStyle="1" w:styleId="leaf">
    <w:name w:val="leaf"/>
    <w:basedOn w:val="DefaultParagraphFont"/>
    <w:rsid w:val="00864EAB"/>
  </w:style>
  <w:style w:type="character" w:customStyle="1" w:styleId="title6">
    <w:name w:val="title6"/>
    <w:basedOn w:val="DefaultParagraphFont"/>
    <w:rsid w:val="00864EAB"/>
  </w:style>
  <w:style w:type="table" w:styleId="TableGrid">
    <w:name w:val="Table Grid"/>
    <w:basedOn w:val="TableNormal"/>
    <w:uiPriority w:val="59"/>
    <w:rsid w:val="00864EAB"/>
    <w:pPr>
      <w:spacing w:after="0"/>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EA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AB"/>
    <w:rPr>
      <w:rFonts w:ascii="Tahoma" w:hAnsi="Tahoma" w:cs="Tahoma"/>
      <w:sz w:val="16"/>
      <w:szCs w:val="16"/>
      <w:lang w:val="fr-FR"/>
    </w:rPr>
  </w:style>
  <w:style w:type="paragraph" w:customStyle="1" w:styleId="Default">
    <w:name w:val="Default"/>
    <w:rsid w:val="00864EAB"/>
    <w:pPr>
      <w:autoSpaceDE w:val="0"/>
      <w:autoSpaceDN w:val="0"/>
      <w:adjustRightInd w:val="0"/>
      <w:spacing w:after="0"/>
      <w:ind w:left="0" w:firstLine="0"/>
      <w:jc w:val="left"/>
    </w:pPr>
    <w:rPr>
      <w:rFonts w:ascii="Arial" w:hAnsi="Arial" w:cs="Arial"/>
      <w:color w:val="000000"/>
      <w:sz w:val="24"/>
      <w:szCs w:val="24"/>
      <w:lang w:val="en-US"/>
    </w:rPr>
  </w:style>
  <w:style w:type="paragraph" w:customStyle="1" w:styleId="TableText">
    <w:name w:val="Table Text"/>
    <w:basedOn w:val="Default"/>
    <w:next w:val="Default"/>
    <w:uiPriority w:val="99"/>
    <w:rsid w:val="00864EAB"/>
    <w:rPr>
      <w:color w:val="auto"/>
    </w:rPr>
  </w:style>
  <w:style w:type="character" w:customStyle="1" w:styleId="apple-converted-space">
    <w:name w:val="apple-converted-space"/>
    <w:basedOn w:val="DefaultParagraphFont"/>
    <w:rsid w:val="00864EAB"/>
  </w:style>
  <w:style w:type="character" w:styleId="Hyperlink">
    <w:name w:val="Hyperlink"/>
    <w:basedOn w:val="DefaultParagraphFont"/>
    <w:uiPriority w:val="99"/>
    <w:unhideWhenUsed/>
    <w:rsid w:val="00864EAB"/>
    <w:rPr>
      <w:color w:val="0000FF"/>
      <w:u w:val="single"/>
    </w:rPr>
  </w:style>
  <w:style w:type="paragraph" w:styleId="Caption">
    <w:name w:val="caption"/>
    <w:basedOn w:val="Normal"/>
    <w:next w:val="Normal"/>
    <w:unhideWhenUsed/>
    <w:qFormat/>
    <w:rsid w:val="00864EAB"/>
    <w:pPr>
      <w:keepNext/>
      <w:keepLines/>
      <w:spacing w:after="60"/>
      <w:ind w:left="1134" w:hanging="1134"/>
    </w:pPr>
    <w:rPr>
      <w:rFonts w:eastAsia="Calibri" w:cs="Times New Roman"/>
      <w:b/>
      <w:bCs/>
      <w:color w:val="4F81BD" w:themeColor="accent1"/>
      <w:sz w:val="24"/>
      <w:szCs w:val="24"/>
      <w:lang w:val="en-GB"/>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
    <w:basedOn w:val="Normal"/>
    <w:link w:val="FootnoteTextChar"/>
    <w:uiPriority w:val="99"/>
    <w:unhideWhenUsed/>
    <w:rsid w:val="00864EAB"/>
    <w:pPr>
      <w:spacing w:before="0"/>
    </w:pPr>
    <w:rPr>
      <w:sz w:val="20"/>
      <w:szCs w:val="20"/>
    </w:rPr>
  </w:style>
  <w:style w:type="character" w:customStyle="1" w:styleId="FootnoteTextChar">
    <w:name w:val="Footnote Text Char"/>
    <w:aliases w:val="Note de bas de page Car1 Car Car Char,Note de bas de page1 Char,stile 1 Char,Footnote Char,Footnote1 Char,Footnote2 Char,Footnote3 Char,Footnote4 Char,Footnote5 Char,Footnote6 Char,Footnote7 Char,Footnote8 Char,Footnote9 Char"/>
    <w:basedOn w:val="DefaultParagraphFont"/>
    <w:link w:val="FootnoteText"/>
    <w:uiPriority w:val="99"/>
    <w:rsid w:val="00864EAB"/>
    <w:rPr>
      <w:sz w:val="20"/>
      <w:szCs w:val="20"/>
      <w:lang w:val="fr-FR"/>
    </w:rPr>
  </w:style>
  <w:style w:type="character" w:styleId="FootnoteReference">
    <w:name w:val="footnote reference"/>
    <w:aliases w:val="Footnote Reference Superscript,BVI fnr, BVI fnr,Footnote symbol"/>
    <w:basedOn w:val="DefaultParagraphFont"/>
    <w:uiPriority w:val="99"/>
    <w:unhideWhenUsed/>
    <w:rsid w:val="00864EAB"/>
    <w:rPr>
      <w:vertAlign w:val="superscript"/>
    </w:rPr>
  </w:style>
  <w:style w:type="table" w:customStyle="1" w:styleId="Elencochiaro-Colore11">
    <w:name w:val="Elenco chiaro - Colore 11"/>
    <w:basedOn w:val="TableNormal"/>
    <w:uiPriority w:val="61"/>
    <w:rsid w:val="00864EAB"/>
    <w:pPr>
      <w:spacing w:after="0"/>
      <w:ind w:left="0" w:firstLine="0"/>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864EAB"/>
    <w:rPr>
      <w:b/>
      <w:bCs/>
      <w:i/>
      <w:iCs/>
      <w:color w:val="4F81BD" w:themeColor="accent1"/>
    </w:rPr>
  </w:style>
  <w:style w:type="paragraph" w:styleId="Subtitle">
    <w:name w:val="Subtitle"/>
    <w:basedOn w:val="Normal"/>
    <w:next w:val="Normal"/>
    <w:link w:val="SubtitleChar"/>
    <w:uiPriority w:val="11"/>
    <w:qFormat/>
    <w:rsid w:val="00864E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4EAB"/>
    <w:rPr>
      <w:rFonts w:asciiTheme="majorHAnsi" w:eastAsiaTheme="majorEastAsia" w:hAnsiTheme="majorHAnsi" w:cstheme="majorBidi"/>
      <w:i/>
      <w:iCs/>
      <w:color w:val="4F81BD" w:themeColor="accent1"/>
      <w:spacing w:val="15"/>
      <w:sz w:val="24"/>
      <w:szCs w:val="24"/>
      <w:lang w:val="fr-FR"/>
    </w:rPr>
  </w:style>
  <w:style w:type="paragraph" w:customStyle="1" w:styleId="bulletred">
    <w:name w:val="bullet red"/>
    <w:basedOn w:val="ListParagraph"/>
    <w:link w:val="bulletredCarattere"/>
    <w:qFormat/>
    <w:rsid w:val="00864EAB"/>
    <w:pPr>
      <w:keepNext/>
      <w:keepLines/>
      <w:numPr>
        <w:numId w:val="1"/>
      </w:numPr>
    </w:pPr>
    <w:rPr>
      <w:b/>
      <w:color w:val="FF0000"/>
      <w:sz w:val="28"/>
      <w:lang w:val="en-GB"/>
    </w:rPr>
  </w:style>
  <w:style w:type="character" w:customStyle="1" w:styleId="bulletredCarattere">
    <w:name w:val="bullet red Carattere"/>
    <w:basedOn w:val="ListParagraphChar"/>
    <w:link w:val="bulletred"/>
    <w:rsid w:val="00864EAB"/>
    <w:rPr>
      <w:b/>
      <w:color w:val="FF0000"/>
      <w:sz w:val="28"/>
      <w:lang w:val="fr-FR"/>
    </w:rPr>
  </w:style>
  <w:style w:type="paragraph" w:styleId="NoSpacing">
    <w:name w:val="No Spacing"/>
    <w:uiPriority w:val="99"/>
    <w:qFormat/>
    <w:rsid w:val="00864EAB"/>
    <w:pPr>
      <w:spacing w:after="0"/>
      <w:ind w:left="0" w:firstLine="0"/>
    </w:pPr>
    <w:rPr>
      <w:lang w:val="fr-FR"/>
    </w:rPr>
  </w:style>
  <w:style w:type="character" w:styleId="CommentReference">
    <w:name w:val="annotation reference"/>
    <w:basedOn w:val="DefaultParagraphFont"/>
    <w:uiPriority w:val="99"/>
    <w:unhideWhenUsed/>
    <w:rsid w:val="00864EAB"/>
    <w:rPr>
      <w:sz w:val="16"/>
      <w:szCs w:val="16"/>
    </w:rPr>
  </w:style>
  <w:style w:type="character" w:customStyle="1" w:styleId="CommentTextChar">
    <w:name w:val="Comment Text Char"/>
    <w:basedOn w:val="DefaultParagraphFont"/>
    <w:link w:val="CommentText"/>
    <w:uiPriority w:val="99"/>
    <w:rsid w:val="00864EAB"/>
    <w:rPr>
      <w:sz w:val="20"/>
      <w:szCs w:val="20"/>
      <w:lang w:val="fr-FR"/>
    </w:rPr>
  </w:style>
  <w:style w:type="paragraph" w:styleId="CommentText">
    <w:name w:val="annotation text"/>
    <w:basedOn w:val="Normal"/>
    <w:link w:val="CommentTextChar"/>
    <w:uiPriority w:val="99"/>
    <w:unhideWhenUsed/>
    <w:rsid w:val="00864EAB"/>
    <w:rPr>
      <w:sz w:val="20"/>
      <w:szCs w:val="20"/>
    </w:rPr>
  </w:style>
  <w:style w:type="character" w:customStyle="1" w:styleId="CommentSubjectChar">
    <w:name w:val="Comment Subject Char"/>
    <w:basedOn w:val="CommentTextChar"/>
    <w:link w:val="CommentSubject"/>
    <w:uiPriority w:val="99"/>
    <w:semiHidden/>
    <w:rsid w:val="00864EAB"/>
    <w:rPr>
      <w:b/>
      <w:bCs/>
      <w:sz w:val="20"/>
      <w:szCs w:val="20"/>
      <w:lang w:val="fr-FR"/>
    </w:rPr>
  </w:style>
  <w:style w:type="paragraph" w:styleId="CommentSubject">
    <w:name w:val="annotation subject"/>
    <w:basedOn w:val="CommentText"/>
    <w:next w:val="CommentText"/>
    <w:link w:val="CommentSubjectChar"/>
    <w:uiPriority w:val="99"/>
    <w:semiHidden/>
    <w:unhideWhenUsed/>
    <w:rsid w:val="00864EAB"/>
    <w:rPr>
      <w:b/>
      <w:bCs/>
    </w:rPr>
  </w:style>
  <w:style w:type="paragraph" w:styleId="Header">
    <w:name w:val="header"/>
    <w:basedOn w:val="Normal"/>
    <w:link w:val="HeaderChar"/>
    <w:unhideWhenUsed/>
    <w:rsid w:val="00864EAB"/>
    <w:pPr>
      <w:tabs>
        <w:tab w:val="center" w:pos="4819"/>
        <w:tab w:val="right" w:pos="9638"/>
      </w:tabs>
      <w:spacing w:before="0"/>
    </w:pPr>
  </w:style>
  <w:style w:type="character" w:customStyle="1" w:styleId="HeaderChar">
    <w:name w:val="Header Char"/>
    <w:basedOn w:val="DefaultParagraphFont"/>
    <w:link w:val="Header"/>
    <w:uiPriority w:val="99"/>
    <w:rsid w:val="00864EAB"/>
    <w:rPr>
      <w:lang w:val="fr-FR"/>
    </w:rPr>
  </w:style>
  <w:style w:type="paragraph" w:styleId="Footer">
    <w:name w:val="footer"/>
    <w:basedOn w:val="Normal"/>
    <w:link w:val="FooterChar"/>
    <w:uiPriority w:val="99"/>
    <w:unhideWhenUsed/>
    <w:rsid w:val="00864EAB"/>
    <w:pPr>
      <w:tabs>
        <w:tab w:val="center" w:pos="4819"/>
        <w:tab w:val="right" w:pos="9638"/>
      </w:tabs>
      <w:spacing w:before="0"/>
    </w:pPr>
  </w:style>
  <w:style w:type="character" w:customStyle="1" w:styleId="FooterChar">
    <w:name w:val="Footer Char"/>
    <w:basedOn w:val="DefaultParagraphFont"/>
    <w:link w:val="Footer"/>
    <w:uiPriority w:val="99"/>
    <w:rsid w:val="00864EAB"/>
    <w:rPr>
      <w:lang w:val="fr-FR"/>
    </w:rPr>
  </w:style>
  <w:style w:type="character" w:styleId="PageNumber">
    <w:name w:val="page number"/>
    <w:basedOn w:val="DefaultParagraphFont"/>
    <w:semiHidden/>
    <w:rsid w:val="00864EAB"/>
  </w:style>
  <w:style w:type="paragraph" w:styleId="TOCHeading">
    <w:name w:val="TOC Heading"/>
    <w:basedOn w:val="Heading1"/>
    <w:next w:val="Normal"/>
    <w:uiPriority w:val="39"/>
    <w:unhideWhenUsed/>
    <w:qFormat/>
    <w:rsid w:val="002B3904"/>
    <w:pPr>
      <w:outlineLvl w:val="9"/>
    </w:pPr>
    <w:rPr>
      <w:rFonts w:asciiTheme="majorHAnsi" w:hAnsiTheme="majorHAnsi"/>
      <w:sz w:val="28"/>
      <w:szCs w:val="28"/>
      <w:lang w:val="fr-FR"/>
    </w:rPr>
  </w:style>
  <w:style w:type="table" w:styleId="MediumList2-Accent1">
    <w:name w:val="Medium List 2 Accent 1"/>
    <w:basedOn w:val="TableNormal"/>
    <w:uiPriority w:val="66"/>
    <w:rsid w:val="002B3904"/>
    <w:pPr>
      <w:spacing w:after="0"/>
      <w:ind w:left="0" w:firstLine="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lencomedio1-Colore11">
    <w:name w:val="Elenco medio 1 - Colore 11"/>
    <w:basedOn w:val="TableNormal"/>
    <w:uiPriority w:val="65"/>
    <w:rsid w:val="002B3904"/>
    <w:pPr>
      <w:spacing w:after="0"/>
      <w:ind w:left="0" w:firstLine="0"/>
      <w:jc w:val="left"/>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llowedHyperlink">
    <w:name w:val="FollowedHyperlink"/>
    <w:basedOn w:val="DefaultParagraphFont"/>
    <w:uiPriority w:val="99"/>
    <w:semiHidden/>
    <w:unhideWhenUsed/>
    <w:rsid w:val="002B3904"/>
    <w:rPr>
      <w:color w:val="800080" w:themeColor="followedHyperlink"/>
      <w:u w:val="single"/>
    </w:rPr>
  </w:style>
  <w:style w:type="character" w:styleId="PlaceholderText">
    <w:name w:val="Placeholder Text"/>
    <w:basedOn w:val="DefaultParagraphFont"/>
    <w:uiPriority w:val="99"/>
    <w:semiHidden/>
    <w:rsid w:val="002B3904"/>
    <w:rPr>
      <w:color w:val="808080"/>
    </w:rPr>
  </w:style>
  <w:style w:type="paragraph" w:customStyle="1" w:styleId="broodtekst">
    <w:name w:val="broodtekst"/>
    <w:basedOn w:val="Default"/>
    <w:next w:val="Default"/>
    <w:uiPriority w:val="99"/>
    <w:rsid w:val="002B3904"/>
    <w:rPr>
      <w:color w:val="auto"/>
      <w:lang w:val="it-IT"/>
    </w:rPr>
  </w:style>
  <w:style w:type="paragraph" w:customStyle="1" w:styleId="bulletpoint1">
    <w:name w:val="bullet point 1"/>
    <w:basedOn w:val="ListParagraph"/>
    <w:next w:val="Normal"/>
    <w:link w:val="bulletpoint1Carattere"/>
    <w:qFormat/>
    <w:rsid w:val="002B3904"/>
    <w:pPr>
      <w:numPr>
        <w:numId w:val="3"/>
      </w:numPr>
      <w:spacing w:before="360"/>
      <w:ind w:left="714" w:hanging="357"/>
      <w:contextualSpacing w:val="0"/>
    </w:pPr>
    <w:rPr>
      <w:b/>
      <w:i/>
      <w:color w:val="00B0F0"/>
      <w:sz w:val="24"/>
      <w:u w:val="single"/>
      <w:lang w:val="en-GB"/>
    </w:rPr>
  </w:style>
  <w:style w:type="character" w:customStyle="1" w:styleId="bulletpoint1Carattere">
    <w:name w:val="bullet point 1 Carattere"/>
    <w:basedOn w:val="ListParagraphChar"/>
    <w:link w:val="bulletpoint1"/>
    <w:rsid w:val="002B3904"/>
    <w:rPr>
      <w:b/>
      <w:i/>
      <w:color w:val="00B0F0"/>
      <w:sz w:val="24"/>
      <w:u w:val="single"/>
      <w:lang w:val="fr-FR"/>
    </w:rPr>
  </w:style>
  <w:style w:type="paragraph" w:customStyle="1" w:styleId="Bulletindex">
    <w:name w:val="Bullet index"/>
    <w:basedOn w:val="Heading2"/>
    <w:next w:val="Normal"/>
    <w:link w:val="BulletindexCarattere"/>
    <w:qFormat/>
    <w:rsid w:val="002B3904"/>
    <w:pPr>
      <w:numPr>
        <w:ilvl w:val="8"/>
        <w:numId w:val="2"/>
      </w:numPr>
      <w:ind w:hanging="450"/>
    </w:pPr>
    <w:rPr>
      <w:sz w:val="32"/>
      <w:lang w:val="it-IT"/>
    </w:rPr>
  </w:style>
  <w:style w:type="character" w:customStyle="1" w:styleId="BulletindexCarattere">
    <w:name w:val="Bullet index Carattere"/>
    <w:basedOn w:val="Heading2Char"/>
    <w:link w:val="Bulletindex"/>
    <w:rsid w:val="002B3904"/>
    <w:rPr>
      <w:rFonts w:eastAsiaTheme="majorEastAsia" w:cstheme="majorBidi"/>
      <w:b/>
      <w:bCs/>
      <w:color w:val="4F81BD" w:themeColor="accent1"/>
      <w:sz w:val="32"/>
      <w:szCs w:val="26"/>
      <w:lang w:val="it-IT"/>
    </w:rPr>
  </w:style>
  <w:style w:type="paragraph" w:customStyle="1" w:styleId="bulletpoint">
    <w:name w:val="bullet point"/>
    <w:basedOn w:val="ListParagraph"/>
    <w:next w:val="Normal"/>
    <w:link w:val="bulletpointCarattere"/>
    <w:qFormat/>
    <w:rsid w:val="00EC2C74"/>
    <w:pPr>
      <w:numPr>
        <w:numId w:val="4"/>
      </w:numPr>
      <w:spacing w:before="360"/>
      <w:contextualSpacing w:val="0"/>
    </w:pPr>
    <w:rPr>
      <w:rFonts w:ascii="Cambria" w:eastAsia="Times New Roman" w:hAnsi="Cambria" w:cs="Times New Roman"/>
      <w:b/>
      <w:bCs/>
      <w:i/>
      <w:color w:val="4F81BD"/>
      <w:sz w:val="26"/>
      <w:szCs w:val="26"/>
      <w:u w:val="single"/>
      <w:lang w:val="en-GB" w:eastAsia="it-IT"/>
    </w:rPr>
  </w:style>
  <w:style w:type="character" w:customStyle="1" w:styleId="bulletpointCarattere">
    <w:name w:val="bullet point Carattere"/>
    <w:link w:val="bulletpoint"/>
    <w:rsid w:val="00EC2C74"/>
    <w:rPr>
      <w:rFonts w:ascii="Cambria" w:eastAsia="Times New Roman" w:hAnsi="Cambria" w:cs="Times New Roman"/>
      <w:b/>
      <w:bCs/>
      <w:i/>
      <w:color w:val="4F81BD"/>
      <w:sz w:val="26"/>
      <w:szCs w:val="26"/>
      <w:u w:val="single"/>
      <w:lang w:eastAsia="it-IT"/>
    </w:rPr>
  </w:style>
  <w:style w:type="paragraph" w:styleId="ListBullet">
    <w:name w:val="List Bullet"/>
    <w:basedOn w:val="Normal"/>
    <w:uiPriority w:val="99"/>
    <w:unhideWhenUsed/>
    <w:rsid w:val="00AD08D2"/>
    <w:pPr>
      <w:numPr>
        <w:numId w:val="5"/>
      </w:numPr>
      <w:contextualSpacing/>
    </w:pPr>
  </w:style>
  <w:style w:type="table" w:customStyle="1" w:styleId="TableGrid1">
    <w:name w:val="Table Grid1"/>
    <w:basedOn w:val="TableNormal"/>
    <w:next w:val="TableGrid"/>
    <w:uiPriority w:val="59"/>
    <w:rsid w:val="0071556B"/>
    <w:pPr>
      <w:spacing w:after="0" w:line="280" w:lineRule="atLeast"/>
      <w:ind w:left="0" w:firstLine="0"/>
      <w:jc w:val="left"/>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1317"/>
    <w:pPr>
      <w:spacing w:after="0"/>
      <w:ind w:left="0" w:firstLine="0"/>
      <w:jc w:val="left"/>
    </w:pPr>
    <w:rPr>
      <w:lang w:val="fr-FR"/>
    </w:rPr>
  </w:style>
  <w:style w:type="table" w:customStyle="1" w:styleId="TableGrid2">
    <w:name w:val="Table Grid2"/>
    <w:basedOn w:val="TableNormal"/>
    <w:next w:val="TableGrid"/>
    <w:uiPriority w:val="59"/>
    <w:rsid w:val="00F2628A"/>
    <w:pPr>
      <w:spacing w:after="0" w:line="280" w:lineRule="atLeast"/>
      <w:ind w:left="0" w:firstLine="0"/>
      <w:jc w:val="left"/>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4595A"/>
    <w:rPr>
      <w:b/>
      <w:bCs/>
    </w:rPr>
  </w:style>
  <w:style w:type="character" w:customStyle="1" w:styleId="hps">
    <w:name w:val="hps"/>
    <w:basedOn w:val="DefaultParagraphFont"/>
    <w:rsid w:val="00F41E58"/>
  </w:style>
  <w:style w:type="character" w:customStyle="1" w:styleId="st1">
    <w:name w:val="st1"/>
    <w:basedOn w:val="DefaultParagraphFont"/>
    <w:rsid w:val="004F0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ind w:left="720"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C0"/>
    <w:pPr>
      <w:spacing w:before="120" w:after="0"/>
      <w:ind w:left="0" w:firstLine="0"/>
    </w:pPr>
    <w:rPr>
      <w:lang w:val="fr-FR"/>
    </w:rPr>
  </w:style>
  <w:style w:type="paragraph" w:styleId="Heading1">
    <w:name w:val="heading 1"/>
    <w:basedOn w:val="Normal"/>
    <w:next w:val="Normal"/>
    <w:link w:val="Heading1Char"/>
    <w:uiPriority w:val="9"/>
    <w:qFormat/>
    <w:rsid w:val="00864EAB"/>
    <w:pPr>
      <w:keepNext/>
      <w:keepLines/>
      <w:spacing w:before="480"/>
      <w:outlineLvl w:val="0"/>
    </w:pPr>
    <w:rPr>
      <w:rFonts w:eastAsiaTheme="majorEastAsia" w:cstheme="majorBidi"/>
      <w:b/>
      <w:bCs/>
      <w:color w:val="365F91" w:themeColor="accent1" w:themeShade="BF"/>
      <w:sz w:val="32"/>
      <w:szCs w:val="32"/>
      <w:lang w:val="en-GB"/>
    </w:rPr>
  </w:style>
  <w:style w:type="paragraph" w:styleId="Heading2">
    <w:name w:val="heading 2"/>
    <w:basedOn w:val="Normal"/>
    <w:next w:val="Normal"/>
    <w:link w:val="Heading2Char"/>
    <w:uiPriority w:val="9"/>
    <w:unhideWhenUsed/>
    <w:qFormat/>
    <w:rsid w:val="00864EAB"/>
    <w:pPr>
      <w:keepNext/>
      <w:keepLines/>
      <w:spacing w:before="200"/>
      <w:outlineLvl w:val="1"/>
    </w:pPr>
    <w:rPr>
      <w:rFonts w:eastAsiaTheme="majorEastAsia"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864E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4EAB"/>
    <w:pPr>
      <w:keepNext/>
      <w:keepLines/>
      <w:spacing w:before="20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unhideWhenUsed/>
    <w:qFormat/>
    <w:rsid w:val="00864E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4EA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4EA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4E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4E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EAB"/>
    <w:rPr>
      <w:rFonts w:eastAsiaTheme="majorEastAsia" w:cstheme="majorBidi"/>
      <w:b/>
      <w:bCs/>
      <w:color w:val="365F91" w:themeColor="accent1" w:themeShade="BF"/>
      <w:sz w:val="32"/>
      <w:szCs w:val="32"/>
    </w:rPr>
  </w:style>
  <w:style w:type="character" w:customStyle="1" w:styleId="Heading2Char">
    <w:name w:val="Heading 2 Char"/>
    <w:basedOn w:val="DefaultParagraphFont"/>
    <w:link w:val="Heading2"/>
    <w:uiPriority w:val="9"/>
    <w:rsid w:val="00864EA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864EAB"/>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864E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4EAB"/>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864EAB"/>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864EAB"/>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864EAB"/>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864EAB"/>
    <w:rPr>
      <w:rFonts w:asciiTheme="majorHAnsi" w:eastAsiaTheme="majorEastAsia" w:hAnsiTheme="majorHAnsi" w:cstheme="majorBidi"/>
      <w:i/>
      <w:iCs/>
      <w:color w:val="404040" w:themeColor="text1" w:themeTint="BF"/>
      <w:sz w:val="20"/>
      <w:szCs w:val="20"/>
      <w:lang w:val="fr-FR"/>
    </w:rPr>
  </w:style>
  <w:style w:type="paragraph" w:styleId="TOC1">
    <w:name w:val="toc 1"/>
    <w:basedOn w:val="Normal"/>
    <w:next w:val="Normal"/>
    <w:autoRedefine/>
    <w:uiPriority w:val="39"/>
    <w:unhideWhenUsed/>
    <w:rsid w:val="002B3904"/>
    <w:pPr>
      <w:tabs>
        <w:tab w:val="left" w:pos="440"/>
        <w:tab w:val="right" w:leader="dot" w:pos="9639"/>
      </w:tabs>
      <w:spacing w:before="220" w:after="100"/>
      <w:ind w:left="425" w:right="709" w:hanging="425"/>
    </w:pPr>
    <w:rPr>
      <w:b/>
      <w:color w:val="4F81BD" w:themeColor="accent1"/>
    </w:rPr>
  </w:style>
  <w:style w:type="paragraph" w:styleId="TOC2">
    <w:name w:val="toc 2"/>
    <w:basedOn w:val="Normal"/>
    <w:next w:val="Normal"/>
    <w:autoRedefine/>
    <w:uiPriority w:val="39"/>
    <w:unhideWhenUsed/>
    <w:rsid w:val="00864EAB"/>
    <w:pPr>
      <w:tabs>
        <w:tab w:val="left" w:pos="880"/>
        <w:tab w:val="right" w:leader="dot" w:pos="9628"/>
      </w:tabs>
      <w:spacing w:before="0"/>
      <w:ind w:left="425"/>
    </w:pPr>
  </w:style>
  <w:style w:type="paragraph" w:styleId="TOC3">
    <w:name w:val="toc 3"/>
    <w:basedOn w:val="Normal"/>
    <w:next w:val="Normal"/>
    <w:autoRedefine/>
    <w:uiPriority w:val="39"/>
    <w:unhideWhenUsed/>
    <w:rsid w:val="00864EAB"/>
    <w:pPr>
      <w:spacing w:after="100"/>
      <w:ind w:left="440"/>
    </w:pPr>
    <w:rPr>
      <w:sz w:val="20"/>
    </w:rPr>
  </w:style>
  <w:style w:type="paragraph" w:styleId="Title">
    <w:name w:val="Title"/>
    <w:basedOn w:val="Normal"/>
    <w:next w:val="Normal"/>
    <w:link w:val="TitleChar"/>
    <w:uiPriority w:val="10"/>
    <w:qFormat/>
    <w:rsid w:val="00864EA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864EAB"/>
    <w:rPr>
      <w:rFonts w:asciiTheme="majorHAnsi" w:eastAsiaTheme="majorEastAsia" w:hAnsiTheme="majorHAnsi" w:cstheme="majorBidi"/>
      <w:color w:val="17365D" w:themeColor="text2" w:themeShade="BF"/>
      <w:spacing w:val="5"/>
      <w:kern w:val="28"/>
      <w:sz w:val="40"/>
      <w:szCs w:val="52"/>
      <w:lang w:val="fr-FR"/>
    </w:rPr>
  </w:style>
  <w:style w:type="paragraph" w:styleId="ListParagraph">
    <w:name w:val="List Paragraph"/>
    <w:basedOn w:val="Normal"/>
    <w:link w:val="ListParagraphChar"/>
    <w:uiPriority w:val="34"/>
    <w:qFormat/>
    <w:rsid w:val="00864EAB"/>
    <w:pPr>
      <w:ind w:left="720"/>
      <w:contextualSpacing/>
    </w:pPr>
  </w:style>
  <w:style w:type="character" w:customStyle="1" w:styleId="ListParagraphChar">
    <w:name w:val="List Paragraph Char"/>
    <w:basedOn w:val="DefaultParagraphFont"/>
    <w:link w:val="ListParagraph"/>
    <w:uiPriority w:val="34"/>
    <w:locked/>
    <w:rsid w:val="00864EAB"/>
    <w:rPr>
      <w:lang w:val="fr-FR"/>
    </w:rPr>
  </w:style>
  <w:style w:type="character" w:customStyle="1" w:styleId="leaf">
    <w:name w:val="leaf"/>
    <w:basedOn w:val="DefaultParagraphFont"/>
    <w:rsid w:val="00864EAB"/>
  </w:style>
  <w:style w:type="character" w:customStyle="1" w:styleId="title6">
    <w:name w:val="title6"/>
    <w:basedOn w:val="DefaultParagraphFont"/>
    <w:rsid w:val="00864EAB"/>
  </w:style>
  <w:style w:type="table" w:styleId="TableGrid">
    <w:name w:val="Table Grid"/>
    <w:basedOn w:val="TableNormal"/>
    <w:uiPriority w:val="59"/>
    <w:rsid w:val="00864EAB"/>
    <w:pPr>
      <w:spacing w:after="0"/>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EA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AB"/>
    <w:rPr>
      <w:rFonts w:ascii="Tahoma" w:hAnsi="Tahoma" w:cs="Tahoma"/>
      <w:sz w:val="16"/>
      <w:szCs w:val="16"/>
      <w:lang w:val="fr-FR"/>
    </w:rPr>
  </w:style>
  <w:style w:type="paragraph" w:customStyle="1" w:styleId="Default">
    <w:name w:val="Default"/>
    <w:rsid w:val="00864EAB"/>
    <w:pPr>
      <w:autoSpaceDE w:val="0"/>
      <w:autoSpaceDN w:val="0"/>
      <w:adjustRightInd w:val="0"/>
      <w:spacing w:after="0"/>
      <w:ind w:left="0" w:firstLine="0"/>
      <w:jc w:val="left"/>
    </w:pPr>
    <w:rPr>
      <w:rFonts w:ascii="Arial" w:hAnsi="Arial" w:cs="Arial"/>
      <w:color w:val="000000"/>
      <w:sz w:val="24"/>
      <w:szCs w:val="24"/>
      <w:lang w:val="en-US"/>
    </w:rPr>
  </w:style>
  <w:style w:type="paragraph" w:customStyle="1" w:styleId="TableText">
    <w:name w:val="Table Text"/>
    <w:basedOn w:val="Default"/>
    <w:next w:val="Default"/>
    <w:uiPriority w:val="99"/>
    <w:rsid w:val="00864EAB"/>
    <w:rPr>
      <w:color w:val="auto"/>
    </w:rPr>
  </w:style>
  <w:style w:type="character" w:customStyle="1" w:styleId="apple-converted-space">
    <w:name w:val="apple-converted-space"/>
    <w:basedOn w:val="DefaultParagraphFont"/>
    <w:rsid w:val="00864EAB"/>
  </w:style>
  <w:style w:type="character" w:styleId="Hyperlink">
    <w:name w:val="Hyperlink"/>
    <w:basedOn w:val="DefaultParagraphFont"/>
    <w:uiPriority w:val="99"/>
    <w:unhideWhenUsed/>
    <w:rsid w:val="00864EAB"/>
    <w:rPr>
      <w:color w:val="0000FF"/>
      <w:u w:val="single"/>
    </w:rPr>
  </w:style>
  <w:style w:type="paragraph" w:styleId="Caption">
    <w:name w:val="caption"/>
    <w:basedOn w:val="Normal"/>
    <w:next w:val="Normal"/>
    <w:unhideWhenUsed/>
    <w:qFormat/>
    <w:rsid w:val="00864EAB"/>
    <w:pPr>
      <w:keepNext/>
      <w:keepLines/>
      <w:spacing w:after="60"/>
      <w:ind w:left="1134" w:hanging="1134"/>
    </w:pPr>
    <w:rPr>
      <w:rFonts w:eastAsia="Calibri" w:cs="Times New Roman"/>
      <w:b/>
      <w:bCs/>
      <w:color w:val="4F81BD" w:themeColor="accent1"/>
      <w:sz w:val="24"/>
      <w:szCs w:val="24"/>
      <w:lang w:val="en-GB"/>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
    <w:basedOn w:val="Normal"/>
    <w:link w:val="FootnoteTextChar"/>
    <w:uiPriority w:val="99"/>
    <w:unhideWhenUsed/>
    <w:rsid w:val="00864EAB"/>
    <w:pPr>
      <w:spacing w:before="0"/>
    </w:pPr>
    <w:rPr>
      <w:sz w:val="20"/>
      <w:szCs w:val="20"/>
    </w:rPr>
  </w:style>
  <w:style w:type="character" w:customStyle="1" w:styleId="FootnoteTextChar">
    <w:name w:val="Footnote Text Char"/>
    <w:aliases w:val="Note de bas de page Car1 Car Car Char,Note de bas de page1 Char,stile 1 Char,Footnote Char,Footnote1 Char,Footnote2 Char,Footnote3 Char,Footnote4 Char,Footnote5 Char,Footnote6 Char,Footnote7 Char,Footnote8 Char,Footnote9 Char"/>
    <w:basedOn w:val="DefaultParagraphFont"/>
    <w:link w:val="FootnoteText"/>
    <w:uiPriority w:val="99"/>
    <w:rsid w:val="00864EAB"/>
    <w:rPr>
      <w:sz w:val="20"/>
      <w:szCs w:val="20"/>
      <w:lang w:val="fr-FR"/>
    </w:rPr>
  </w:style>
  <w:style w:type="character" w:styleId="FootnoteReference">
    <w:name w:val="footnote reference"/>
    <w:aliases w:val="Footnote Reference Superscript,BVI fnr, BVI fnr,Footnote symbol"/>
    <w:basedOn w:val="DefaultParagraphFont"/>
    <w:uiPriority w:val="99"/>
    <w:unhideWhenUsed/>
    <w:rsid w:val="00864EAB"/>
    <w:rPr>
      <w:vertAlign w:val="superscript"/>
    </w:rPr>
  </w:style>
  <w:style w:type="table" w:customStyle="1" w:styleId="Elencochiaro-Colore11">
    <w:name w:val="Elenco chiaro - Colore 11"/>
    <w:basedOn w:val="TableNormal"/>
    <w:uiPriority w:val="61"/>
    <w:rsid w:val="00864EAB"/>
    <w:pPr>
      <w:spacing w:after="0"/>
      <w:ind w:left="0" w:firstLine="0"/>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864EAB"/>
    <w:rPr>
      <w:b/>
      <w:bCs/>
      <w:i/>
      <w:iCs/>
      <w:color w:val="4F81BD" w:themeColor="accent1"/>
    </w:rPr>
  </w:style>
  <w:style w:type="paragraph" w:styleId="Subtitle">
    <w:name w:val="Subtitle"/>
    <w:basedOn w:val="Normal"/>
    <w:next w:val="Normal"/>
    <w:link w:val="SubtitleChar"/>
    <w:uiPriority w:val="11"/>
    <w:qFormat/>
    <w:rsid w:val="00864E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4EAB"/>
    <w:rPr>
      <w:rFonts w:asciiTheme="majorHAnsi" w:eastAsiaTheme="majorEastAsia" w:hAnsiTheme="majorHAnsi" w:cstheme="majorBidi"/>
      <w:i/>
      <w:iCs/>
      <w:color w:val="4F81BD" w:themeColor="accent1"/>
      <w:spacing w:val="15"/>
      <w:sz w:val="24"/>
      <w:szCs w:val="24"/>
      <w:lang w:val="fr-FR"/>
    </w:rPr>
  </w:style>
  <w:style w:type="paragraph" w:customStyle="1" w:styleId="bulletred">
    <w:name w:val="bullet red"/>
    <w:basedOn w:val="ListParagraph"/>
    <w:link w:val="bulletredCarattere"/>
    <w:qFormat/>
    <w:rsid w:val="00864EAB"/>
    <w:pPr>
      <w:keepNext/>
      <w:keepLines/>
      <w:numPr>
        <w:numId w:val="1"/>
      </w:numPr>
    </w:pPr>
    <w:rPr>
      <w:b/>
      <w:color w:val="FF0000"/>
      <w:sz w:val="28"/>
      <w:lang w:val="en-GB"/>
    </w:rPr>
  </w:style>
  <w:style w:type="character" w:customStyle="1" w:styleId="bulletredCarattere">
    <w:name w:val="bullet red Carattere"/>
    <w:basedOn w:val="ListParagraphChar"/>
    <w:link w:val="bulletred"/>
    <w:rsid w:val="00864EAB"/>
    <w:rPr>
      <w:b/>
      <w:color w:val="FF0000"/>
      <w:sz w:val="28"/>
      <w:lang w:val="fr-FR"/>
    </w:rPr>
  </w:style>
  <w:style w:type="paragraph" w:styleId="NoSpacing">
    <w:name w:val="No Spacing"/>
    <w:uiPriority w:val="99"/>
    <w:qFormat/>
    <w:rsid w:val="00864EAB"/>
    <w:pPr>
      <w:spacing w:after="0"/>
      <w:ind w:left="0" w:firstLine="0"/>
    </w:pPr>
    <w:rPr>
      <w:lang w:val="fr-FR"/>
    </w:rPr>
  </w:style>
  <w:style w:type="character" w:styleId="CommentReference">
    <w:name w:val="annotation reference"/>
    <w:basedOn w:val="DefaultParagraphFont"/>
    <w:uiPriority w:val="99"/>
    <w:unhideWhenUsed/>
    <w:rsid w:val="00864EAB"/>
    <w:rPr>
      <w:sz w:val="16"/>
      <w:szCs w:val="16"/>
    </w:rPr>
  </w:style>
  <w:style w:type="character" w:customStyle="1" w:styleId="CommentTextChar">
    <w:name w:val="Comment Text Char"/>
    <w:basedOn w:val="DefaultParagraphFont"/>
    <w:link w:val="CommentText"/>
    <w:uiPriority w:val="99"/>
    <w:rsid w:val="00864EAB"/>
    <w:rPr>
      <w:sz w:val="20"/>
      <w:szCs w:val="20"/>
      <w:lang w:val="fr-FR"/>
    </w:rPr>
  </w:style>
  <w:style w:type="paragraph" w:styleId="CommentText">
    <w:name w:val="annotation text"/>
    <w:basedOn w:val="Normal"/>
    <w:link w:val="CommentTextChar"/>
    <w:uiPriority w:val="99"/>
    <w:unhideWhenUsed/>
    <w:rsid w:val="00864EAB"/>
    <w:rPr>
      <w:sz w:val="20"/>
      <w:szCs w:val="20"/>
    </w:rPr>
  </w:style>
  <w:style w:type="character" w:customStyle="1" w:styleId="CommentSubjectChar">
    <w:name w:val="Comment Subject Char"/>
    <w:basedOn w:val="CommentTextChar"/>
    <w:link w:val="CommentSubject"/>
    <w:uiPriority w:val="99"/>
    <w:semiHidden/>
    <w:rsid w:val="00864EAB"/>
    <w:rPr>
      <w:b/>
      <w:bCs/>
      <w:sz w:val="20"/>
      <w:szCs w:val="20"/>
      <w:lang w:val="fr-FR"/>
    </w:rPr>
  </w:style>
  <w:style w:type="paragraph" w:styleId="CommentSubject">
    <w:name w:val="annotation subject"/>
    <w:basedOn w:val="CommentText"/>
    <w:next w:val="CommentText"/>
    <w:link w:val="CommentSubjectChar"/>
    <w:uiPriority w:val="99"/>
    <w:semiHidden/>
    <w:unhideWhenUsed/>
    <w:rsid w:val="00864EAB"/>
    <w:rPr>
      <w:b/>
      <w:bCs/>
    </w:rPr>
  </w:style>
  <w:style w:type="paragraph" w:styleId="Header">
    <w:name w:val="header"/>
    <w:basedOn w:val="Normal"/>
    <w:link w:val="HeaderChar"/>
    <w:unhideWhenUsed/>
    <w:rsid w:val="00864EAB"/>
    <w:pPr>
      <w:tabs>
        <w:tab w:val="center" w:pos="4819"/>
        <w:tab w:val="right" w:pos="9638"/>
      </w:tabs>
      <w:spacing w:before="0"/>
    </w:pPr>
  </w:style>
  <w:style w:type="character" w:customStyle="1" w:styleId="HeaderChar">
    <w:name w:val="Header Char"/>
    <w:basedOn w:val="DefaultParagraphFont"/>
    <w:link w:val="Header"/>
    <w:uiPriority w:val="99"/>
    <w:rsid w:val="00864EAB"/>
    <w:rPr>
      <w:lang w:val="fr-FR"/>
    </w:rPr>
  </w:style>
  <w:style w:type="paragraph" w:styleId="Footer">
    <w:name w:val="footer"/>
    <w:basedOn w:val="Normal"/>
    <w:link w:val="FooterChar"/>
    <w:uiPriority w:val="99"/>
    <w:unhideWhenUsed/>
    <w:rsid w:val="00864EAB"/>
    <w:pPr>
      <w:tabs>
        <w:tab w:val="center" w:pos="4819"/>
        <w:tab w:val="right" w:pos="9638"/>
      </w:tabs>
      <w:spacing w:before="0"/>
    </w:pPr>
  </w:style>
  <w:style w:type="character" w:customStyle="1" w:styleId="FooterChar">
    <w:name w:val="Footer Char"/>
    <w:basedOn w:val="DefaultParagraphFont"/>
    <w:link w:val="Footer"/>
    <w:uiPriority w:val="99"/>
    <w:rsid w:val="00864EAB"/>
    <w:rPr>
      <w:lang w:val="fr-FR"/>
    </w:rPr>
  </w:style>
  <w:style w:type="character" w:styleId="PageNumber">
    <w:name w:val="page number"/>
    <w:basedOn w:val="DefaultParagraphFont"/>
    <w:semiHidden/>
    <w:rsid w:val="00864EAB"/>
  </w:style>
  <w:style w:type="paragraph" w:styleId="TOCHeading">
    <w:name w:val="TOC Heading"/>
    <w:basedOn w:val="Heading1"/>
    <w:next w:val="Normal"/>
    <w:uiPriority w:val="39"/>
    <w:unhideWhenUsed/>
    <w:qFormat/>
    <w:rsid w:val="002B3904"/>
    <w:pPr>
      <w:outlineLvl w:val="9"/>
    </w:pPr>
    <w:rPr>
      <w:rFonts w:asciiTheme="majorHAnsi" w:hAnsiTheme="majorHAnsi"/>
      <w:sz w:val="28"/>
      <w:szCs w:val="28"/>
      <w:lang w:val="fr-FR"/>
    </w:rPr>
  </w:style>
  <w:style w:type="table" w:styleId="MediumList2-Accent1">
    <w:name w:val="Medium List 2 Accent 1"/>
    <w:basedOn w:val="TableNormal"/>
    <w:uiPriority w:val="66"/>
    <w:rsid w:val="002B3904"/>
    <w:pPr>
      <w:spacing w:after="0"/>
      <w:ind w:left="0" w:firstLine="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lencomedio1-Colore11">
    <w:name w:val="Elenco medio 1 - Colore 11"/>
    <w:basedOn w:val="TableNormal"/>
    <w:uiPriority w:val="65"/>
    <w:rsid w:val="002B3904"/>
    <w:pPr>
      <w:spacing w:after="0"/>
      <w:ind w:left="0" w:firstLine="0"/>
      <w:jc w:val="left"/>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llowedHyperlink">
    <w:name w:val="FollowedHyperlink"/>
    <w:basedOn w:val="DefaultParagraphFont"/>
    <w:uiPriority w:val="99"/>
    <w:semiHidden/>
    <w:unhideWhenUsed/>
    <w:rsid w:val="002B3904"/>
    <w:rPr>
      <w:color w:val="800080" w:themeColor="followedHyperlink"/>
      <w:u w:val="single"/>
    </w:rPr>
  </w:style>
  <w:style w:type="character" w:styleId="PlaceholderText">
    <w:name w:val="Placeholder Text"/>
    <w:basedOn w:val="DefaultParagraphFont"/>
    <w:uiPriority w:val="99"/>
    <w:semiHidden/>
    <w:rsid w:val="002B3904"/>
    <w:rPr>
      <w:color w:val="808080"/>
    </w:rPr>
  </w:style>
  <w:style w:type="paragraph" w:customStyle="1" w:styleId="broodtekst">
    <w:name w:val="broodtekst"/>
    <w:basedOn w:val="Default"/>
    <w:next w:val="Default"/>
    <w:uiPriority w:val="99"/>
    <w:rsid w:val="002B3904"/>
    <w:rPr>
      <w:color w:val="auto"/>
      <w:lang w:val="it-IT"/>
    </w:rPr>
  </w:style>
  <w:style w:type="paragraph" w:customStyle="1" w:styleId="bulletpoint1">
    <w:name w:val="bullet point 1"/>
    <w:basedOn w:val="ListParagraph"/>
    <w:next w:val="Normal"/>
    <w:link w:val="bulletpoint1Carattere"/>
    <w:qFormat/>
    <w:rsid w:val="002B3904"/>
    <w:pPr>
      <w:numPr>
        <w:numId w:val="3"/>
      </w:numPr>
      <w:spacing w:before="360"/>
      <w:ind w:left="714" w:hanging="357"/>
      <w:contextualSpacing w:val="0"/>
    </w:pPr>
    <w:rPr>
      <w:b/>
      <w:i/>
      <w:color w:val="00B0F0"/>
      <w:sz w:val="24"/>
      <w:u w:val="single"/>
      <w:lang w:val="en-GB"/>
    </w:rPr>
  </w:style>
  <w:style w:type="character" w:customStyle="1" w:styleId="bulletpoint1Carattere">
    <w:name w:val="bullet point 1 Carattere"/>
    <w:basedOn w:val="ListParagraphChar"/>
    <w:link w:val="bulletpoint1"/>
    <w:rsid w:val="002B3904"/>
    <w:rPr>
      <w:b/>
      <w:i/>
      <w:color w:val="00B0F0"/>
      <w:sz w:val="24"/>
      <w:u w:val="single"/>
      <w:lang w:val="fr-FR"/>
    </w:rPr>
  </w:style>
  <w:style w:type="paragraph" w:customStyle="1" w:styleId="Bulletindex">
    <w:name w:val="Bullet index"/>
    <w:basedOn w:val="Heading2"/>
    <w:next w:val="Normal"/>
    <w:link w:val="BulletindexCarattere"/>
    <w:qFormat/>
    <w:rsid w:val="002B3904"/>
    <w:pPr>
      <w:numPr>
        <w:ilvl w:val="8"/>
        <w:numId w:val="2"/>
      </w:numPr>
      <w:ind w:hanging="450"/>
    </w:pPr>
    <w:rPr>
      <w:sz w:val="32"/>
      <w:lang w:val="it-IT"/>
    </w:rPr>
  </w:style>
  <w:style w:type="character" w:customStyle="1" w:styleId="BulletindexCarattere">
    <w:name w:val="Bullet index Carattere"/>
    <w:basedOn w:val="Heading2Char"/>
    <w:link w:val="Bulletindex"/>
    <w:rsid w:val="002B3904"/>
    <w:rPr>
      <w:rFonts w:eastAsiaTheme="majorEastAsia" w:cstheme="majorBidi"/>
      <w:b/>
      <w:bCs/>
      <w:color w:val="4F81BD" w:themeColor="accent1"/>
      <w:sz w:val="32"/>
      <w:szCs w:val="26"/>
      <w:lang w:val="it-IT"/>
    </w:rPr>
  </w:style>
  <w:style w:type="paragraph" w:customStyle="1" w:styleId="bulletpoint">
    <w:name w:val="bullet point"/>
    <w:basedOn w:val="ListParagraph"/>
    <w:next w:val="Normal"/>
    <w:link w:val="bulletpointCarattere"/>
    <w:qFormat/>
    <w:rsid w:val="00EC2C74"/>
    <w:pPr>
      <w:numPr>
        <w:numId w:val="4"/>
      </w:numPr>
      <w:spacing w:before="360"/>
      <w:contextualSpacing w:val="0"/>
    </w:pPr>
    <w:rPr>
      <w:rFonts w:ascii="Cambria" w:eastAsia="Times New Roman" w:hAnsi="Cambria" w:cs="Times New Roman"/>
      <w:b/>
      <w:bCs/>
      <w:i/>
      <w:color w:val="4F81BD"/>
      <w:sz w:val="26"/>
      <w:szCs w:val="26"/>
      <w:u w:val="single"/>
      <w:lang w:val="en-GB" w:eastAsia="it-IT"/>
    </w:rPr>
  </w:style>
  <w:style w:type="character" w:customStyle="1" w:styleId="bulletpointCarattere">
    <w:name w:val="bullet point Carattere"/>
    <w:link w:val="bulletpoint"/>
    <w:rsid w:val="00EC2C74"/>
    <w:rPr>
      <w:rFonts w:ascii="Cambria" w:eastAsia="Times New Roman" w:hAnsi="Cambria" w:cs="Times New Roman"/>
      <w:b/>
      <w:bCs/>
      <w:i/>
      <w:color w:val="4F81BD"/>
      <w:sz w:val="26"/>
      <w:szCs w:val="26"/>
      <w:u w:val="single"/>
      <w:lang w:eastAsia="it-IT"/>
    </w:rPr>
  </w:style>
  <w:style w:type="paragraph" w:styleId="ListBullet">
    <w:name w:val="List Bullet"/>
    <w:basedOn w:val="Normal"/>
    <w:uiPriority w:val="99"/>
    <w:unhideWhenUsed/>
    <w:rsid w:val="00AD08D2"/>
    <w:pPr>
      <w:numPr>
        <w:numId w:val="5"/>
      </w:numPr>
      <w:contextualSpacing/>
    </w:pPr>
  </w:style>
  <w:style w:type="table" w:customStyle="1" w:styleId="TableGrid1">
    <w:name w:val="Table Grid1"/>
    <w:basedOn w:val="TableNormal"/>
    <w:next w:val="TableGrid"/>
    <w:uiPriority w:val="59"/>
    <w:rsid w:val="0071556B"/>
    <w:pPr>
      <w:spacing w:after="0" w:line="280" w:lineRule="atLeast"/>
      <w:ind w:left="0" w:firstLine="0"/>
      <w:jc w:val="left"/>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1317"/>
    <w:pPr>
      <w:spacing w:after="0"/>
      <w:ind w:left="0" w:firstLine="0"/>
      <w:jc w:val="left"/>
    </w:pPr>
    <w:rPr>
      <w:lang w:val="fr-FR"/>
    </w:rPr>
  </w:style>
  <w:style w:type="table" w:customStyle="1" w:styleId="TableGrid2">
    <w:name w:val="Table Grid2"/>
    <w:basedOn w:val="TableNormal"/>
    <w:next w:val="TableGrid"/>
    <w:uiPriority w:val="59"/>
    <w:rsid w:val="00F2628A"/>
    <w:pPr>
      <w:spacing w:after="0" w:line="280" w:lineRule="atLeast"/>
      <w:ind w:left="0" w:firstLine="0"/>
      <w:jc w:val="left"/>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4595A"/>
    <w:rPr>
      <w:b/>
      <w:bCs/>
    </w:rPr>
  </w:style>
  <w:style w:type="character" w:customStyle="1" w:styleId="hps">
    <w:name w:val="hps"/>
    <w:basedOn w:val="DefaultParagraphFont"/>
    <w:rsid w:val="00F41E58"/>
  </w:style>
  <w:style w:type="character" w:customStyle="1" w:styleId="st1">
    <w:name w:val="st1"/>
    <w:basedOn w:val="DefaultParagraphFont"/>
    <w:rsid w:val="004F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7083">
      <w:bodyDiv w:val="1"/>
      <w:marLeft w:val="0"/>
      <w:marRight w:val="0"/>
      <w:marTop w:val="0"/>
      <w:marBottom w:val="0"/>
      <w:divBdr>
        <w:top w:val="none" w:sz="0" w:space="0" w:color="auto"/>
        <w:left w:val="none" w:sz="0" w:space="0" w:color="auto"/>
        <w:bottom w:val="none" w:sz="0" w:space="0" w:color="auto"/>
        <w:right w:val="none" w:sz="0" w:space="0" w:color="auto"/>
      </w:divBdr>
      <w:divsChild>
        <w:div w:id="888996237">
          <w:marLeft w:val="0"/>
          <w:marRight w:val="0"/>
          <w:marTop w:val="0"/>
          <w:marBottom w:val="0"/>
          <w:divBdr>
            <w:top w:val="none" w:sz="0" w:space="0" w:color="auto"/>
            <w:left w:val="none" w:sz="0" w:space="0" w:color="auto"/>
            <w:bottom w:val="none" w:sz="0" w:space="0" w:color="auto"/>
            <w:right w:val="none" w:sz="0" w:space="0" w:color="auto"/>
          </w:divBdr>
          <w:divsChild>
            <w:div w:id="798113317">
              <w:marLeft w:val="0"/>
              <w:marRight w:val="0"/>
              <w:marTop w:val="0"/>
              <w:marBottom w:val="0"/>
              <w:divBdr>
                <w:top w:val="none" w:sz="0" w:space="0" w:color="auto"/>
                <w:left w:val="none" w:sz="0" w:space="0" w:color="auto"/>
                <w:bottom w:val="none" w:sz="0" w:space="0" w:color="auto"/>
                <w:right w:val="none" w:sz="0" w:space="0" w:color="auto"/>
              </w:divBdr>
              <w:divsChild>
                <w:div w:id="725375897">
                  <w:marLeft w:val="165"/>
                  <w:marRight w:val="180"/>
                  <w:marTop w:val="0"/>
                  <w:marBottom w:val="0"/>
                  <w:divBdr>
                    <w:top w:val="none" w:sz="0" w:space="0" w:color="auto"/>
                    <w:left w:val="none" w:sz="0" w:space="0" w:color="auto"/>
                    <w:bottom w:val="none" w:sz="0" w:space="0" w:color="auto"/>
                    <w:right w:val="none" w:sz="0" w:space="0" w:color="auto"/>
                  </w:divBdr>
                  <w:divsChild>
                    <w:div w:id="642391193">
                      <w:marLeft w:val="0"/>
                      <w:marRight w:val="0"/>
                      <w:marTop w:val="0"/>
                      <w:marBottom w:val="0"/>
                      <w:divBdr>
                        <w:top w:val="none" w:sz="0" w:space="0" w:color="auto"/>
                        <w:left w:val="single" w:sz="6" w:space="0" w:color="90938B"/>
                        <w:bottom w:val="none" w:sz="0" w:space="0" w:color="auto"/>
                        <w:right w:val="single" w:sz="6" w:space="0" w:color="90938B"/>
                      </w:divBdr>
                      <w:divsChild>
                        <w:div w:id="528758559">
                          <w:marLeft w:val="0"/>
                          <w:marRight w:val="0"/>
                          <w:marTop w:val="0"/>
                          <w:marBottom w:val="0"/>
                          <w:divBdr>
                            <w:top w:val="none" w:sz="0" w:space="0" w:color="auto"/>
                            <w:left w:val="none" w:sz="0" w:space="0" w:color="auto"/>
                            <w:bottom w:val="none" w:sz="0" w:space="0" w:color="auto"/>
                            <w:right w:val="none" w:sz="0" w:space="0" w:color="auto"/>
                          </w:divBdr>
                          <w:divsChild>
                            <w:div w:id="298414362">
                              <w:marLeft w:val="0"/>
                              <w:marRight w:val="0"/>
                              <w:marTop w:val="0"/>
                              <w:marBottom w:val="0"/>
                              <w:divBdr>
                                <w:top w:val="none" w:sz="0" w:space="0" w:color="auto"/>
                                <w:left w:val="none" w:sz="0" w:space="0" w:color="auto"/>
                                <w:bottom w:val="none" w:sz="0" w:space="0" w:color="auto"/>
                                <w:right w:val="none" w:sz="0" w:space="0" w:color="auto"/>
                              </w:divBdr>
                              <w:divsChild>
                                <w:div w:id="1669090984">
                                  <w:marLeft w:val="0"/>
                                  <w:marRight w:val="0"/>
                                  <w:marTop w:val="0"/>
                                  <w:marBottom w:val="0"/>
                                  <w:divBdr>
                                    <w:top w:val="none" w:sz="0" w:space="0" w:color="auto"/>
                                    <w:left w:val="none" w:sz="0" w:space="0" w:color="auto"/>
                                    <w:bottom w:val="none" w:sz="0" w:space="0" w:color="auto"/>
                                    <w:right w:val="none" w:sz="0" w:space="0" w:color="auto"/>
                                  </w:divBdr>
                                  <w:divsChild>
                                    <w:div w:id="600915935">
                                      <w:marLeft w:val="0"/>
                                      <w:marRight w:val="0"/>
                                      <w:marTop w:val="0"/>
                                      <w:marBottom w:val="0"/>
                                      <w:divBdr>
                                        <w:top w:val="none" w:sz="0" w:space="0" w:color="auto"/>
                                        <w:left w:val="none" w:sz="0" w:space="0" w:color="auto"/>
                                        <w:bottom w:val="none" w:sz="0" w:space="0" w:color="auto"/>
                                        <w:right w:val="none" w:sz="0" w:space="0" w:color="auto"/>
                                      </w:divBdr>
                                      <w:divsChild>
                                        <w:div w:id="2500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951942">
      <w:bodyDiv w:val="1"/>
      <w:marLeft w:val="0"/>
      <w:marRight w:val="0"/>
      <w:marTop w:val="0"/>
      <w:marBottom w:val="0"/>
      <w:divBdr>
        <w:top w:val="none" w:sz="0" w:space="0" w:color="auto"/>
        <w:left w:val="none" w:sz="0" w:space="0" w:color="auto"/>
        <w:bottom w:val="none" w:sz="0" w:space="0" w:color="auto"/>
        <w:right w:val="none" w:sz="0" w:space="0" w:color="auto"/>
      </w:divBdr>
      <w:divsChild>
        <w:div w:id="2141874318">
          <w:marLeft w:val="0"/>
          <w:marRight w:val="0"/>
          <w:marTop w:val="300"/>
          <w:marBottom w:val="0"/>
          <w:divBdr>
            <w:top w:val="none" w:sz="0" w:space="0" w:color="auto"/>
            <w:left w:val="none" w:sz="0" w:space="0" w:color="auto"/>
            <w:bottom w:val="none" w:sz="0" w:space="0" w:color="auto"/>
            <w:right w:val="none" w:sz="0" w:space="0" w:color="auto"/>
          </w:divBdr>
          <w:divsChild>
            <w:div w:id="1788312127">
              <w:marLeft w:val="0"/>
              <w:marRight w:val="0"/>
              <w:marTop w:val="0"/>
              <w:marBottom w:val="0"/>
              <w:divBdr>
                <w:top w:val="none" w:sz="0" w:space="0" w:color="auto"/>
                <w:left w:val="none" w:sz="0" w:space="0" w:color="auto"/>
                <w:bottom w:val="none" w:sz="0" w:space="0" w:color="auto"/>
                <w:right w:val="none" w:sz="0" w:space="0" w:color="auto"/>
              </w:divBdr>
              <w:divsChild>
                <w:div w:id="363099672">
                  <w:marLeft w:val="0"/>
                  <w:marRight w:val="0"/>
                  <w:marTop w:val="75"/>
                  <w:marBottom w:val="0"/>
                  <w:divBdr>
                    <w:top w:val="none" w:sz="0" w:space="0" w:color="auto"/>
                    <w:left w:val="none" w:sz="0" w:space="0" w:color="auto"/>
                    <w:bottom w:val="none" w:sz="0" w:space="0" w:color="auto"/>
                    <w:right w:val="none" w:sz="0" w:space="0" w:color="auto"/>
                  </w:divBdr>
                </w:div>
                <w:div w:id="375936439">
                  <w:marLeft w:val="0"/>
                  <w:marRight w:val="0"/>
                  <w:marTop w:val="75"/>
                  <w:marBottom w:val="0"/>
                  <w:divBdr>
                    <w:top w:val="none" w:sz="0" w:space="0" w:color="auto"/>
                    <w:left w:val="none" w:sz="0" w:space="0" w:color="auto"/>
                    <w:bottom w:val="none" w:sz="0" w:space="0" w:color="auto"/>
                    <w:right w:val="none" w:sz="0" w:space="0" w:color="auto"/>
                  </w:divBdr>
                </w:div>
                <w:div w:id="628172241">
                  <w:marLeft w:val="0"/>
                  <w:marRight w:val="0"/>
                  <w:marTop w:val="75"/>
                  <w:marBottom w:val="0"/>
                  <w:divBdr>
                    <w:top w:val="none" w:sz="0" w:space="0" w:color="auto"/>
                    <w:left w:val="none" w:sz="0" w:space="0" w:color="auto"/>
                    <w:bottom w:val="none" w:sz="0" w:space="0" w:color="auto"/>
                    <w:right w:val="none" w:sz="0" w:space="0" w:color="auto"/>
                  </w:divBdr>
                </w:div>
                <w:div w:id="810177375">
                  <w:marLeft w:val="0"/>
                  <w:marRight w:val="0"/>
                  <w:marTop w:val="75"/>
                  <w:marBottom w:val="0"/>
                  <w:divBdr>
                    <w:top w:val="none" w:sz="0" w:space="0" w:color="auto"/>
                    <w:left w:val="none" w:sz="0" w:space="0" w:color="auto"/>
                    <w:bottom w:val="none" w:sz="0" w:space="0" w:color="auto"/>
                    <w:right w:val="none" w:sz="0" w:space="0" w:color="auto"/>
                  </w:divBdr>
                </w:div>
                <w:div w:id="1370061545">
                  <w:marLeft w:val="0"/>
                  <w:marRight w:val="0"/>
                  <w:marTop w:val="75"/>
                  <w:marBottom w:val="0"/>
                  <w:divBdr>
                    <w:top w:val="none" w:sz="0" w:space="0" w:color="auto"/>
                    <w:left w:val="none" w:sz="0" w:space="0" w:color="auto"/>
                    <w:bottom w:val="none" w:sz="0" w:space="0" w:color="auto"/>
                    <w:right w:val="none" w:sz="0" w:space="0" w:color="auto"/>
                  </w:divBdr>
                </w:div>
                <w:div w:id="1440098576">
                  <w:marLeft w:val="0"/>
                  <w:marRight w:val="0"/>
                  <w:marTop w:val="75"/>
                  <w:marBottom w:val="0"/>
                  <w:divBdr>
                    <w:top w:val="none" w:sz="0" w:space="0" w:color="auto"/>
                    <w:left w:val="none" w:sz="0" w:space="0" w:color="auto"/>
                    <w:bottom w:val="none" w:sz="0" w:space="0" w:color="auto"/>
                    <w:right w:val="none" w:sz="0" w:space="0" w:color="auto"/>
                  </w:divBdr>
                </w:div>
                <w:div w:id="1655521616">
                  <w:marLeft w:val="0"/>
                  <w:marRight w:val="0"/>
                  <w:marTop w:val="75"/>
                  <w:marBottom w:val="0"/>
                  <w:divBdr>
                    <w:top w:val="none" w:sz="0" w:space="0" w:color="auto"/>
                    <w:left w:val="none" w:sz="0" w:space="0" w:color="auto"/>
                    <w:bottom w:val="none" w:sz="0" w:space="0" w:color="auto"/>
                    <w:right w:val="none" w:sz="0" w:space="0" w:color="auto"/>
                  </w:divBdr>
                </w:div>
                <w:div w:id="1710449797">
                  <w:marLeft w:val="0"/>
                  <w:marRight w:val="0"/>
                  <w:marTop w:val="75"/>
                  <w:marBottom w:val="0"/>
                  <w:divBdr>
                    <w:top w:val="none" w:sz="0" w:space="0" w:color="auto"/>
                    <w:left w:val="none" w:sz="0" w:space="0" w:color="auto"/>
                    <w:bottom w:val="none" w:sz="0" w:space="0" w:color="auto"/>
                    <w:right w:val="none" w:sz="0" w:space="0" w:color="auto"/>
                  </w:divBdr>
                </w:div>
                <w:div w:id="1808474411">
                  <w:marLeft w:val="0"/>
                  <w:marRight w:val="0"/>
                  <w:marTop w:val="75"/>
                  <w:marBottom w:val="0"/>
                  <w:divBdr>
                    <w:top w:val="none" w:sz="0" w:space="0" w:color="auto"/>
                    <w:left w:val="none" w:sz="0" w:space="0" w:color="auto"/>
                    <w:bottom w:val="none" w:sz="0" w:space="0" w:color="auto"/>
                    <w:right w:val="none" w:sz="0" w:space="0" w:color="auto"/>
                  </w:divBdr>
                </w:div>
                <w:div w:id="1822036442">
                  <w:marLeft w:val="0"/>
                  <w:marRight w:val="0"/>
                  <w:marTop w:val="75"/>
                  <w:marBottom w:val="0"/>
                  <w:divBdr>
                    <w:top w:val="none" w:sz="0" w:space="0" w:color="auto"/>
                    <w:left w:val="none" w:sz="0" w:space="0" w:color="auto"/>
                    <w:bottom w:val="none" w:sz="0" w:space="0" w:color="auto"/>
                    <w:right w:val="none" w:sz="0" w:space="0" w:color="auto"/>
                  </w:divBdr>
                </w:div>
                <w:div w:id="1911231818">
                  <w:marLeft w:val="0"/>
                  <w:marRight w:val="0"/>
                  <w:marTop w:val="75"/>
                  <w:marBottom w:val="0"/>
                  <w:divBdr>
                    <w:top w:val="none" w:sz="0" w:space="0" w:color="auto"/>
                    <w:left w:val="none" w:sz="0" w:space="0" w:color="auto"/>
                    <w:bottom w:val="none" w:sz="0" w:space="0" w:color="auto"/>
                    <w:right w:val="none" w:sz="0" w:space="0" w:color="auto"/>
                  </w:divBdr>
                </w:div>
                <w:div w:id="1970549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8403339">
      <w:bodyDiv w:val="1"/>
      <w:marLeft w:val="0"/>
      <w:marRight w:val="0"/>
      <w:marTop w:val="0"/>
      <w:marBottom w:val="0"/>
      <w:divBdr>
        <w:top w:val="none" w:sz="0" w:space="0" w:color="auto"/>
        <w:left w:val="none" w:sz="0" w:space="0" w:color="auto"/>
        <w:bottom w:val="none" w:sz="0" w:space="0" w:color="auto"/>
        <w:right w:val="none" w:sz="0" w:space="0" w:color="auto"/>
      </w:divBdr>
    </w:div>
    <w:div w:id="964888992">
      <w:bodyDiv w:val="1"/>
      <w:marLeft w:val="0"/>
      <w:marRight w:val="0"/>
      <w:marTop w:val="0"/>
      <w:marBottom w:val="0"/>
      <w:divBdr>
        <w:top w:val="none" w:sz="0" w:space="0" w:color="auto"/>
        <w:left w:val="none" w:sz="0" w:space="0" w:color="auto"/>
        <w:bottom w:val="none" w:sz="0" w:space="0" w:color="auto"/>
        <w:right w:val="none" w:sz="0" w:space="0" w:color="auto"/>
      </w:divBdr>
      <w:divsChild>
        <w:div w:id="383480905">
          <w:marLeft w:val="0"/>
          <w:marRight w:val="0"/>
          <w:marTop w:val="300"/>
          <w:marBottom w:val="0"/>
          <w:divBdr>
            <w:top w:val="none" w:sz="0" w:space="0" w:color="auto"/>
            <w:left w:val="none" w:sz="0" w:space="0" w:color="auto"/>
            <w:bottom w:val="none" w:sz="0" w:space="0" w:color="auto"/>
            <w:right w:val="none" w:sz="0" w:space="0" w:color="auto"/>
          </w:divBdr>
          <w:divsChild>
            <w:div w:id="382170768">
              <w:marLeft w:val="0"/>
              <w:marRight w:val="0"/>
              <w:marTop w:val="0"/>
              <w:marBottom w:val="0"/>
              <w:divBdr>
                <w:top w:val="none" w:sz="0" w:space="0" w:color="auto"/>
                <w:left w:val="none" w:sz="0" w:space="0" w:color="auto"/>
                <w:bottom w:val="none" w:sz="0" w:space="0" w:color="auto"/>
                <w:right w:val="none" w:sz="0" w:space="0" w:color="auto"/>
              </w:divBdr>
              <w:divsChild>
                <w:div w:id="832531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4657290">
      <w:bodyDiv w:val="1"/>
      <w:marLeft w:val="0"/>
      <w:marRight w:val="0"/>
      <w:marTop w:val="0"/>
      <w:marBottom w:val="0"/>
      <w:divBdr>
        <w:top w:val="none" w:sz="0" w:space="0" w:color="auto"/>
        <w:left w:val="none" w:sz="0" w:space="0" w:color="auto"/>
        <w:bottom w:val="none" w:sz="0" w:space="0" w:color="auto"/>
        <w:right w:val="none" w:sz="0" w:space="0" w:color="auto"/>
      </w:divBdr>
    </w:div>
    <w:div w:id="1195385229">
      <w:bodyDiv w:val="1"/>
      <w:marLeft w:val="0"/>
      <w:marRight w:val="0"/>
      <w:marTop w:val="0"/>
      <w:marBottom w:val="0"/>
      <w:divBdr>
        <w:top w:val="none" w:sz="0" w:space="0" w:color="auto"/>
        <w:left w:val="none" w:sz="0" w:space="0" w:color="auto"/>
        <w:bottom w:val="none" w:sz="0" w:space="0" w:color="auto"/>
        <w:right w:val="none" w:sz="0" w:space="0" w:color="auto"/>
      </w:divBdr>
    </w:div>
    <w:div w:id="1201481079">
      <w:bodyDiv w:val="1"/>
      <w:marLeft w:val="0"/>
      <w:marRight w:val="0"/>
      <w:marTop w:val="0"/>
      <w:marBottom w:val="0"/>
      <w:divBdr>
        <w:top w:val="none" w:sz="0" w:space="0" w:color="auto"/>
        <w:left w:val="none" w:sz="0" w:space="0" w:color="auto"/>
        <w:bottom w:val="none" w:sz="0" w:space="0" w:color="auto"/>
        <w:right w:val="none" w:sz="0" w:space="0" w:color="auto"/>
      </w:divBdr>
      <w:divsChild>
        <w:div w:id="325518518">
          <w:marLeft w:val="0"/>
          <w:marRight w:val="0"/>
          <w:marTop w:val="0"/>
          <w:marBottom w:val="0"/>
          <w:divBdr>
            <w:top w:val="none" w:sz="0" w:space="0" w:color="auto"/>
            <w:left w:val="none" w:sz="0" w:space="0" w:color="auto"/>
            <w:bottom w:val="none" w:sz="0" w:space="0" w:color="auto"/>
            <w:right w:val="none" w:sz="0" w:space="0" w:color="auto"/>
          </w:divBdr>
          <w:divsChild>
            <w:div w:id="309557457">
              <w:marLeft w:val="0"/>
              <w:marRight w:val="0"/>
              <w:marTop w:val="0"/>
              <w:marBottom w:val="0"/>
              <w:divBdr>
                <w:top w:val="none" w:sz="0" w:space="0" w:color="auto"/>
                <w:left w:val="none" w:sz="0" w:space="0" w:color="auto"/>
                <w:bottom w:val="none" w:sz="0" w:space="0" w:color="auto"/>
                <w:right w:val="none" w:sz="0" w:space="0" w:color="auto"/>
              </w:divBdr>
              <w:divsChild>
                <w:div w:id="535699088">
                  <w:marLeft w:val="0"/>
                  <w:marRight w:val="0"/>
                  <w:marTop w:val="0"/>
                  <w:marBottom w:val="0"/>
                  <w:divBdr>
                    <w:top w:val="none" w:sz="0" w:space="0" w:color="auto"/>
                    <w:left w:val="none" w:sz="0" w:space="0" w:color="auto"/>
                    <w:bottom w:val="none" w:sz="0" w:space="0" w:color="auto"/>
                    <w:right w:val="none" w:sz="0" w:space="0" w:color="auto"/>
                  </w:divBdr>
                  <w:divsChild>
                    <w:div w:id="502816005">
                      <w:marLeft w:val="0"/>
                      <w:marRight w:val="0"/>
                      <w:marTop w:val="0"/>
                      <w:marBottom w:val="0"/>
                      <w:divBdr>
                        <w:top w:val="none" w:sz="0" w:space="0" w:color="auto"/>
                        <w:left w:val="none" w:sz="0" w:space="0" w:color="auto"/>
                        <w:bottom w:val="none" w:sz="0" w:space="0" w:color="auto"/>
                        <w:right w:val="none" w:sz="0" w:space="0" w:color="auto"/>
                      </w:divBdr>
                      <w:divsChild>
                        <w:div w:id="280839150">
                          <w:marLeft w:val="0"/>
                          <w:marRight w:val="0"/>
                          <w:marTop w:val="0"/>
                          <w:marBottom w:val="0"/>
                          <w:divBdr>
                            <w:top w:val="none" w:sz="0" w:space="0" w:color="auto"/>
                            <w:left w:val="none" w:sz="0" w:space="0" w:color="auto"/>
                            <w:bottom w:val="none" w:sz="0" w:space="0" w:color="auto"/>
                            <w:right w:val="none" w:sz="0" w:space="0" w:color="auto"/>
                          </w:divBdr>
                          <w:divsChild>
                            <w:div w:id="1883057406">
                              <w:marLeft w:val="0"/>
                              <w:marRight w:val="0"/>
                              <w:marTop w:val="0"/>
                              <w:marBottom w:val="0"/>
                              <w:divBdr>
                                <w:top w:val="none" w:sz="0" w:space="0" w:color="auto"/>
                                <w:left w:val="none" w:sz="0" w:space="0" w:color="auto"/>
                                <w:bottom w:val="none" w:sz="0" w:space="0" w:color="auto"/>
                                <w:right w:val="none" w:sz="0" w:space="0" w:color="auto"/>
                              </w:divBdr>
                              <w:divsChild>
                                <w:div w:id="433131831">
                                  <w:marLeft w:val="75"/>
                                  <w:marRight w:val="15"/>
                                  <w:marTop w:val="0"/>
                                  <w:marBottom w:val="0"/>
                                  <w:divBdr>
                                    <w:top w:val="none" w:sz="0" w:space="0" w:color="auto"/>
                                    <w:left w:val="none" w:sz="0" w:space="0" w:color="auto"/>
                                    <w:bottom w:val="none" w:sz="0" w:space="0" w:color="auto"/>
                                    <w:right w:val="none" w:sz="0" w:space="0" w:color="auto"/>
                                  </w:divBdr>
                                  <w:divsChild>
                                    <w:div w:id="1466507761">
                                      <w:marLeft w:val="0"/>
                                      <w:marRight w:val="-240"/>
                                      <w:marTop w:val="0"/>
                                      <w:marBottom w:val="0"/>
                                      <w:divBdr>
                                        <w:top w:val="none" w:sz="0" w:space="0" w:color="auto"/>
                                        <w:left w:val="none" w:sz="0" w:space="0" w:color="auto"/>
                                        <w:bottom w:val="none" w:sz="0" w:space="0" w:color="auto"/>
                                        <w:right w:val="none" w:sz="0" w:space="0" w:color="auto"/>
                                      </w:divBdr>
                                      <w:divsChild>
                                        <w:div w:id="1377776709">
                                          <w:marLeft w:val="0"/>
                                          <w:marRight w:val="0"/>
                                          <w:marTop w:val="0"/>
                                          <w:marBottom w:val="0"/>
                                          <w:divBdr>
                                            <w:top w:val="none" w:sz="0" w:space="0" w:color="auto"/>
                                            <w:left w:val="single" w:sz="6" w:space="0" w:color="CCCCCC"/>
                                            <w:bottom w:val="none" w:sz="0" w:space="0" w:color="auto"/>
                                            <w:right w:val="none" w:sz="0" w:space="0" w:color="auto"/>
                                          </w:divBdr>
                                          <w:divsChild>
                                            <w:div w:id="1113983229">
                                              <w:marLeft w:val="0"/>
                                              <w:marRight w:val="0"/>
                                              <w:marTop w:val="0"/>
                                              <w:marBottom w:val="0"/>
                                              <w:divBdr>
                                                <w:top w:val="none" w:sz="0" w:space="0" w:color="auto"/>
                                                <w:left w:val="none" w:sz="0" w:space="0" w:color="auto"/>
                                                <w:bottom w:val="none" w:sz="0" w:space="0" w:color="auto"/>
                                                <w:right w:val="none" w:sz="0" w:space="0" w:color="auto"/>
                                              </w:divBdr>
                                              <w:divsChild>
                                                <w:div w:id="2082025481">
                                                  <w:marLeft w:val="0"/>
                                                  <w:marRight w:val="0"/>
                                                  <w:marTop w:val="0"/>
                                                  <w:marBottom w:val="0"/>
                                                  <w:divBdr>
                                                    <w:top w:val="none" w:sz="0" w:space="0" w:color="auto"/>
                                                    <w:left w:val="none" w:sz="0" w:space="0" w:color="auto"/>
                                                    <w:bottom w:val="none" w:sz="0" w:space="0" w:color="auto"/>
                                                    <w:right w:val="none" w:sz="0" w:space="0" w:color="auto"/>
                                                  </w:divBdr>
                                                  <w:divsChild>
                                                    <w:div w:id="1839541404">
                                                      <w:marLeft w:val="225"/>
                                                      <w:marRight w:val="0"/>
                                                      <w:marTop w:val="0"/>
                                                      <w:marBottom w:val="0"/>
                                                      <w:divBdr>
                                                        <w:top w:val="none" w:sz="0" w:space="0" w:color="auto"/>
                                                        <w:left w:val="none" w:sz="0" w:space="0" w:color="auto"/>
                                                        <w:bottom w:val="none" w:sz="0" w:space="0" w:color="auto"/>
                                                        <w:right w:val="none" w:sz="0" w:space="0" w:color="auto"/>
                                                      </w:divBdr>
                                                    </w:div>
                                                    <w:div w:id="20336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maritimeforum/content/294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37C8-B2C2-4E9A-9AB0-895EE00C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13830</Words>
  <Characters>78832</Characters>
  <Application>Microsoft Office Word</Application>
  <DocSecurity>0</DocSecurity>
  <Lines>656</Lines>
  <Paragraphs>184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Ecorys UK</Company>
  <LinksUpToDate>false</LinksUpToDate>
  <CharactersWithSpaces>92478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anuccio</dc:creator>
  <cp:lastModifiedBy>Martin Wegele</cp:lastModifiedBy>
  <cp:revision>8</cp:revision>
  <cp:lastPrinted>2013-10-17T16:19:00Z</cp:lastPrinted>
  <dcterms:created xsi:type="dcterms:W3CDTF">2013-10-18T16:39:00Z</dcterms:created>
  <dcterms:modified xsi:type="dcterms:W3CDTF">2013-10-18T17:24:00Z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-461851152</vt:i4>
  </property>
</Properties>
</file>