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75" w:rsidRDefault="00265B75" w:rsidP="00F47B67">
      <w:pPr>
        <w:spacing w:before="100" w:beforeAutospacing="1" w:after="100" w:afterAutospacing="1"/>
        <w:jc w:val="center"/>
      </w:pPr>
      <w:r>
        <w:rPr>
          <w:u w:val="single"/>
        </w:rPr>
        <w:t>‘EIB meets ocean energy’ seminar</w:t>
      </w:r>
      <w:r w:rsidR="005D537F">
        <w:rPr>
          <w:u w:val="single"/>
        </w:rPr>
        <w:t>, 5</w:t>
      </w:r>
      <w:r w:rsidR="005D537F" w:rsidRPr="005D537F">
        <w:rPr>
          <w:u w:val="single"/>
          <w:vertAlign w:val="superscript"/>
        </w:rPr>
        <w:t>th</w:t>
      </w:r>
      <w:r w:rsidR="005D537F">
        <w:rPr>
          <w:u w:val="single"/>
        </w:rPr>
        <w:t xml:space="preserve"> </w:t>
      </w:r>
      <w:bookmarkStart w:id="0" w:name="_GoBack"/>
      <w:bookmarkEnd w:id="0"/>
      <w:r w:rsidR="005D537F">
        <w:rPr>
          <w:u w:val="single"/>
        </w:rPr>
        <w:t>October 2015</w:t>
      </w:r>
    </w:p>
    <w:p w:rsidR="00265B75" w:rsidRDefault="00265B75" w:rsidP="00F47B67">
      <w:pPr>
        <w:spacing w:before="100" w:beforeAutospacing="1" w:after="100" w:afterAutospacing="1"/>
        <w:jc w:val="both"/>
      </w:pPr>
      <w:r>
        <w:t xml:space="preserve">The objective of the seminar was two-fold: i) to </w:t>
      </w:r>
      <w:r w:rsidR="00F47B67">
        <w:t>allow the industry to get acquainted with the</w:t>
      </w:r>
      <w:r>
        <w:t xml:space="preserve"> specificities of the new </w:t>
      </w:r>
      <w:proofErr w:type="spellStart"/>
      <w:r>
        <w:t>InnovFin</w:t>
      </w:r>
      <w:proofErr w:type="spellEnd"/>
      <w:r>
        <w:t xml:space="preserve"> energy demonstration fund and ii) to raise awareness about the new sector within the EIB and get the representatives to understand the constraints faced by </w:t>
      </w:r>
      <w:r>
        <w:t>the industry.</w:t>
      </w:r>
    </w:p>
    <w:p w:rsidR="00265B75" w:rsidRDefault="00265B75" w:rsidP="00F47B67">
      <w:pPr>
        <w:spacing w:before="100" w:beforeAutospacing="1" w:after="100" w:afterAutospacing="1"/>
        <w:jc w:val="both"/>
      </w:pPr>
      <w:r>
        <w:rPr>
          <w:rFonts w:cstheme="minorHAnsi"/>
          <w:b/>
        </w:rPr>
        <w:t>1.</w:t>
      </w:r>
      <w:r>
        <w:rPr>
          <w:b/>
          <w:sz w:val="14"/>
          <w:szCs w:val="14"/>
        </w:rPr>
        <w:t xml:space="preserve">    </w:t>
      </w:r>
      <w:proofErr w:type="spellStart"/>
      <w:r>
        <w:rPr>
          <w:b/>
        </w:rPr>
        <w:t>InnovFin</w:t>
      </w:r>
      <w:proofErr w:type="spellEnd"/>
      <w:r>
        <w:rPr>
          <w:b/>
        </w:rPr>
        <w:t xml:space="preserve"> (Milena </w:t>
      </w:r>
      <w:proofErr w:type="spellStart"/>
      <w:r>
        <w:rPr>
          <w:b/>
        </w:rPr>
        <w:t>Messori</w:t>
      </w:r>
      <w:proofErr w:type="spellEnd"/>
      <w:r>
        <w:rPr>
          <w:b/>
        </w:rPr>
        <w:t>, EIB, lending directorate)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T</w:t>
      </w:r>
      <w:r>
        <w:t xml:space="preserve">he new energy demonstration facility </w:t>
      </w:r>
      <w:r>
        <w:t>will</w:t>
      </w:r>
      <w:r>
        <w:t xml:space="preserve"> support first-of-a-kind demonstration.</w:t>
      </w:r>
      <w:r w:rsidRPr="00265B75">
        <w:t xml:space="preserve"> </w:t>
      </w:r>
      <w:r>
        <w:t>The technology must be well p</w:t>
      </w:r>
      <w:r w:rsidRPr="00265B75">
        <w:t xml:space="preserve">ast prototype stage </w:t>
      </w:r>
      <w:r w:rsidR="00F47B67">
        <w:t xml:space="preserve">in order </w:t>
      </w:r>
      <w:r>
        <w:t xml:space="preserve">to demonstrate that it works at scale. 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Projects can be financed through</w:t>
      </w:r>
      <w:r>
        <w:t xml:space="preserve"> loans but </w:t>
      </w:r>
      <w:r>
        <w:t xml:space="preserve">also other repayable instruments. </w:t>
      </w:r>
      <w:r>
        <w:t>Currently the facility</w:t>
      </w:r>
      <w:r w:rsidR="00F47B67">
        <w:t xml:space="preserve"> is</w:t>
      </w:r>
      <w:r>
        <w:t xml:space="preserve"> in a pilot phase and only amounts to </w:t>
      </w:r>
      <w:r>
        <w:t>€</w:t>
      </w:r>
      <w:r>
        <w:t>100</w:t>
      </w:r>
      <w:r>
        <w:t xml:space="preserve"> </w:t>
      </w:r>
      <w:r>
        <w:t>mill</w:t>
      </w:r>
      <w:r>
        <w:t xml:space="preserve">ion </w:t>
      </w:r>
      <w:r w:rsidR="00F47B67">
        <w:t xml:space="preserve">in total </w:t>
      </w:r>
      <w:r>
        <w:t>so its reach it’s limited. The f</w:t>
      </w:r>
      <w:r>
        <w:t xml:space="preserve">loor for lending </w:t>
      </w:r>
      <w:r>
        <w:t>is</w:t>
      </w:r>
      <w:r>
        <w:t xml:space="preserve"> </w:t>
      </w:r>
      <w:r>
        <w:t>€</w:t>
      </w:r>
      <w:r>
        <w:t>7</w:t>
      </w:r>
      <w:proofErr w:type="gramStart"/>
      <w:r>
        <w:t>,5</w:t>
      </w:r>
      <w:proofErr w:type="gramEnd"/>
      <w:r>
        <w:t xml:space="preserve"> million</w:t>
      </w:r>
      <w:r w:rsidR="00F47B67">
        <w:t xml:space="preserve"> per project</w:t>
      </w:r>
      <w:r>
        <w:t xml:space="preserve"> at 50% co-financing</w:t>
      </w:r>
      <w:r>
        <w:t xml:space="preserve"> and up to </w:t>
      </w:r>
      <w:r>
        <w:t>€25 million.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The facili</w:t>
      </w:r>
      <w:r>
        <w:t>ty follows standard EIB rules and projects are submitted to comprehensive f</w:t>
      </w:r>
      <w:r>
        <w:t xml:space="preserve">inancial, technical and legal due diligence. 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The </w:t>
      </w:r>
      <w:r>
        <w:t>€</w:t>
      </w:r>
      <w:r>
        <w:t>7</w:t>
      </w:r>
      <w:proofErr w:type="gramStart"/>
      <w:r>
        <w:t>,5</w:t>
      </w:r>
      <w:proofErr w:type="gramEnd"/>
      <w:r>
        <w:t xml:space="preserve"> million floor for lending is necessary due to limited resources available</w:t>
      </w:r>
      <w:r>
        <w:t xml:space="preserve"> at the Bank</w:t>
      </w:r>
      <w:r>
        <w:t xml:space="preserve"> for project appraisal. For smaller projects, the EIB lends through intermediarie</w:t>
      </w:r>
      <w:r w:rsidR="00F47B67">
        <w:t>s (national promotional banks) or through the EIF.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Eligibility criteria: innovativeness, </w:t>
      </w:r>
      <w:r>
        <w:t>replicability (with</w:t>
      </w:r>
      <w:r>
        <w:t xml:space="preserve"> 3-4 years to m</w:t>
      </w:r>
      <w:r>
        <w:t>arket), prospect of bankability and</w:t>
      </w:r>
      <w:r>
        <w:t xml:space="preserve"> participation of at least 25</w:t>
      </w:r>
      <w:r>
        <w:t xml:space="preserve">% </w:t>
      </w:r>
      <w:r>
        <w:t>by the project promoter.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The EIB is d</w:t>
      </w:r>
      <w:r>
        <w:t xml:space="preserve">eveloping a </w:t>
      </w:r>
      <w:r w:rsidR="00F47B67">
        <w:t xml:space="preserve">project </w:t>
      </w:r>
      <w:r>
        <w:t>pipeline at the moment. It is difficult to find projects that meet the criteria. 50 project promoters have expressed interest but only 2 projects are being appraised.</w:t>
      </w:r>
    </w:p>
    <w:p w:rsidR="00265B75" w:rsidRDefault="00265B75" w:rsidP="00F47B67">
      <w:pPr>
        <w:spacing w:before="100" w:beforeAutospacing="1" w:after="100" w:afterAutospacing="1"/>
        <w:ind w:left="360"/>
        <w:jc w:val="both"/>
      </w:pPr>
      <w:r>
        <w:rPr>
          <w:rFonts w:cstheme="minorHAnsi"/>
          <w:b/>
        </w:rPr>
        <w:t>2.</w:t>
      </w:r>
      <w:r>
        <w:rPr>
          <w:b/>
          <w:sz w:val="14"/>
          <w:szCs w:val="14"/>
        </w:rPr>
        <w:t xml:space="preserve">    </w:t>
      </w:r>
      <w:r>
        <w:rPr>
          <w:b/>
        </w:rPr>
        <w:t>Appraisal of projects by the EIB (Ronald Schulze, EIB, projects directorate)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T</w:t>
      </w:r>
      <w:r>
        <w:t>he Bank has experience in appraising ocean energy projects for the NER300 fund</w:t>
      </w:r>
      <w:r>
        <w:t>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E</w:t>
      </w:r>
      <w:r>
        <w:t>nergy projects are appraised on the basis of cost per unit of electricity, which is bad news for innovative technologies but R&amp;D costs are taken into account in the appraisal</w:t>
      </w:r>
      <w:r>
        <w:t>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E</w:t>
      </w:r>
      <w:r>
        <w:t xml:space="preserve">nvironmental impacts are important </w:t>
      </w:r>
      <w:r>
        <w:t xml:space="preserve">and are assessed according to fixed criteria </w:t>
      </w:r>
      <w:r>
        <w:t>(booklet available on EIB’s website)</w:t>
      </w:r>
      <w:r>
        <w:t>.</w:t>
      </w:r>
    </w:p>
    <w:p w:rsidR="00265B75" w:rsidRDefault="00265B75" w:rsidP="00F47B67">
      <w:pPr>
        <w:spacing w:before="100" w:beforeAutospacing="1" w:after="100" w:afterAutospacing="1"/>
        <w:ind w:left="360"/>
        <w:jc w:val="both"/>
      </w:pPr>
      <w:r>
        <w:rPr>
          <w:rFonts w:cstheme="minorHAnsi"/>
          <w:b/>
        </w:rPr>
        <w:t>3.</w:t>
      </w:r>
      <w:r>
        <w:rPr>
          <w:b/>
          <w:sz w:val="14"/>
          <w:szCs w:val="14"/>
        </w:rPr>
        <w:t xml:space="preserve">    </w:t>
      </w:r>
      <w:r>
        <w:rPr>
          <w:b/>
        </w:rPr>
        <w:t>Recommendations of the finance working group of the Ocean Energy Forum (Michael Bullock, Renewable Risk Advisors)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V</w:t>
      </w:r>
      <w:r>
        <w:t>ery little data available for first array – this means the risk falls on the project vehicle, which is</w:t>
      </w:r>
      <w:r w:rsidR="00F47B67">
        <w:t xml:space="preserve"> a problem when it </w:t>
      </w:r>
      <w:r>
        <w:t>has a limited balance sheet</w:t>
      </w:r>
      <w:r>
        <w:t>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How do we make ocean energy projects more attractive? Various options are available: </w:t>
      </w:r>
      <w:r>
        <w:t xml:space="preserve">e.g. </w:t>
      </w:r>
      <w:r>
        <w:t>warranties, structuring of projects to accommodate variability in revenue, request</w:t>
      </w:r>
      <w:r>
        <w:t>ing</w:t>
      </w:r>
      <w:r>
        <w:t xml:space="preserve"> proof that the machine successf</w:t>
      </w:r>
      <w:r>
        <w:t xml:space="preserve">ully </w:t>
      </w:r>
      <w:r>
        <w:t>operates at a given site</w:t>
      </w:r>
      <w:r>
        <w:t>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Publicly funded insurance product could address the gap – </w:t>
      </w:r>
      <w:r>
        <w:t>€</w:t>
      </w:r>
      <w:r w:rsidR="00F47B67">
        <w:t xml:space="preserve">50 - </w:t>
      </w:r>
      <w:r>
        <w:t>70 million in seed funding could be sufficient</w:t>
      </w:r>
      <w:r w:rsidR="00F47B67">
        <w:t>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Contracting structure would have to be carefully considered to distribute risk appropriately. This structure could evolve</w:t>
      </w:r>
      <w:r w:rsidR="00F47B67">
        <w:t xml:space="preserve"> </w:t>
      </w:r>
      <w:r>
        <w:t>– technology developers</w:t>
      </w:r>
      <w:r w:rsidR="00F47B67">
        <w:t>,</w:t>
      </w:r>
      <w:r>
        <w:t xml:space="preserve"> for instance</w:t>
      </w:r>
      <w:r w:rsidR="00F47B67">
        <w:t>,</w:t>
      </w:r>
      <w:r>
        <w:t xml:space="preserve"> could be made to provide more robust guarantees </w:t>
      </w:r>
      <w:r w:rsidR="00F47B67">
        <w:t>over time.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Need to drill deeper into the specificities to establish a structure acceptable to all</w:t>
      </w:r>
      <w:r w:rsidR="00F47B67">
        <w:t>.</w:t>
      </w:r>
    </w:p>
    <w:p w:rsidR="00265B75" w:rsidRDefault="00265B75" w:rsidP="00F47B67">
      <w:pPr>
        <w:spacing w:before="100" w:beforeAutospacing="1" w:after="100" w:afterAutospacing="1"/>
        <w:ind w:left="360"/>
        <w:jc w:val="both"/>
      </w:pPr>
      <w:r>
        <w:lastRenderedPageBreak/>
        <w:t> </w:t>
      </w:r>
    </w:p>
    <w:p w:rsidR="00265B75" w:rsidRDefault="00265B75" w:rsidP="00F47B67">
      <w:pPr>
        <w:spacing w:before="100" w:beforeAutospacing="1" w:after="100" w:afterAutospacing="1"/>
        <w:ind w:left="360"/>
        <w:jc w:val="both"/>
      </w:pPr>
      <w:r>
        <w:rPr>
          <w:rFonts w:cstheme="minorHAnsi"/>
          <w:b/>
        </w:rPr>
        <w:t>4.</w:t>
      </w:r>
      <w:r>
        <w:rPr>
          <w:b/>
          <w:sz w:val="14"/>
          <w:szCs w:val="14"/>
        </w:rPr>
        <w:t xml:space="preserve">    </w:t>
      </w:r>
      <w:r>
        <w:rPr>
          <w:b/>
        </w:rPr>
        <w:t>Financing the world’s first tidal array (Andrew Smith, Scottish Investment Bank)</w:t>
      </w:r>
    </w:p>
    <w:p w:rsidR="00265B75" w:rsidRDefault="00F47B67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Almost</w:t>
      </w:r>
      <w:r w:rsidR="00265B75">
        <w:t xml:space="preserve"> half of the debt provided to the project by the SIB </w:t>
      </w:r>
      <w:r>
        <w:t>is at</w:t>
      </w:r>
      <w:r w:rsidR="00265B75">
        <w:t xml:space="preserve"> commercial terms but grants were necessary</w:t>
      </w:r>
      <w:r>
        <w:t xml:space="preserve"> to get the deal.</w:t>
      </w:r>
    </w:p>
    <w:p w:rsidR="00265B75" w:rsidRDefault="00F47B67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I</w:t>
      </w:r>
      <w:r w:rsidR="00265B75">
        <w:t xml:space="preserve">t was very </w:t>
      </w:r>
      <w:r>
        <w:t>difficult to bring the project to a financial close</w:t>
      </w:r>
      <w:r w:rsidR="00265B75">
        <w:t xml:space="preserve"> but it is a pathfinder</w:t>
      </w:r>
      <w:r>
        <w:t>.</w:t>
      </w:r>
    </w:p>
    <w:p w:rsidR="00265B75" w:rsidRDefault="00F47B67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C</w:t>
      </w:r>
      <w:r w:rsidR="00265B75">
        <w:t>orporate interest in the tidal sector has grown since then including supply chain companies</w:t>
      </w:r>
      <w:r>
        <w:t>.</w:t>
      </w:r>
    </w:p>
    <w:p w:rsidR="00265B75" w:rsidRDefault="00265B75" w:rsidP="00F47B6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r>
        <w:t>MeyGen</w:t>
      </w:r>
      <w:proofErr w:type="spellEnd"/>
      <w:r>
        <w:t xml:space="preserve"> </w:t>
      </w:r>
      <w:r w:rsidR="00F47B67">
        <w:t xml:space="preserve">was </w:t>
      </w:r>
      <w:r>
        <w:t>no</w:t>
      </w:r>
      <w:r w:rsidR="00F47B67">
        <w:t>t set up to be a model, the aim</w:t>
      </w:r>
      <w:r>
        <w:t xml:space="preserve"> was</w:t>
      </w:r>
      <w:r w:rsidR="00F47B67">
        <w:t xml:space="preserve"> merely</w:t>
      </w:r>
      <w:r>
        <w:t xml:space="preserve"> to close a deal but there are lessons to be learned</w:t>
      </w:r>
      <w:r w:rsidR="00F47B67">
        <w:t>.</w:t>
      </w:r>
    </w:p>
    <w:p w:rsidR="00265B75" w:rsidRDefault="00265B75" w:rsidP="00F47B67">
      <w:pPr>
        <w:spacing w:before="100" w:beforeAutospacing="1" w:after="100" w:afterAutospacing="1"/>
        <w:jc w:val="both"/>
      </w:pPr>
      <w:r>
        <w:t xml:space="preserve">Webcast at: </w:t>
      </w:r>
      <w:hyperlink r:id="rId6" w:history="1">
        <w:r>
          <w:rPr>
            <w:rStyle w:val="Hyperlink"/>
          </w:rPr>
          <w:t>https://scic.ec.europa.eu/streaming/eib-presentation-to-the-ocean-energy-sector</w:t>
        </w:r>
      </w:hyperlink>
    </w:p>
    <w:p w:rsidR="0015603F" w:rsidRDefault="005D537F" w:rsidP="00F47B67">
      <w:pPr>
        <w:jc w:val="both"/>
      </w:pPr>
    </w:p>
    <w:sectPr w:rsidR="0015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397"/>
    <w:multiLevelType w:val="hybridMultilevel"/>
    <w:tmpl w:val="7938C6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005D4"/>
    <w:multiLevelType w:val="hybridMultilevel"/>
    <w:tmpl w:val="F6AEF97C"/>
    <w:lvl w:ilvl="0" w:tplc="98C4377A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5"/>
    <w:rsid w:val="0017306A"/>
    <w:rsid w:val="00265B75"/>
    <w:rsid w:val="005D537F"/>
    <w:rsid w:val="00ED6963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B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7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B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7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.ec.europa.eu/streaming/eib-presentation-to-the-ocean-energy-sec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SARAPATKOVA Petra (MARE-EXT)</dc:creator>
  <cp:lastModifiedBy>SARAPATKOVA Petra (MARE-EXT)</cp:lastModifiedBy>
  <cp:revision>2</cp:revision>
  <dcterms:created xsi:type="dcterms:W3CDTF">2015-11-11T08:02:00Z</dcterms:created>
  <dcterms:modified xsi:type="dcterms:W3CDTF">2015-11-11T08:36:00Z</dcterms:modified>
</cp:coreProperties>
</file>