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11" w:rsidRDefault="00F36A84" w:rsidP="002507E0">
      <w:pPr>
        <w:pStyle w:val="Heading1"/>
        <w:pageBreakBefore/>
        <w:tabs>
          <w:tab w:val="left" w:pos="0"/>
        </w:tabs>
        <w:spacing w:before="0" w:after="840" w:line="280" w:lineRule="atLeast"/>
        <w:rPr>
          <w:rFonts w:ascii="Arial" w:eastAsia="Times New Roman" w:hAnsi="Arial" w:cs="Arial"/>
          <w:color w:val="006DB6"/>
          <w:sz w:val="36"/>
          <w:szCs w:val="32"/>
          <w:lang w:eastAsia="nl-NL"/>
        </w:rPr>
      </w:pPr>
      <w:r w:rsidRPr="002507E0">
        <w:rPr>
          <w:rFonts w:ascii="Arial" w:eastAsia="Times New Roman" w:hAnsi="Arial" w:cs="Arial"/>
          <w:color w:val="006DB6"/>
          <w:sz w:val="36"/>
          <w:szCs w:val="32"/>
          <w:lang w:eastAsia="nl-NL"/>
        </w:rPr>
        <w:t>ANNEX B</w:t>
      </w:r>
      <w:r w:rsidR="002507E0">
        <w:rPr>
          <w:rFonts w:ascii="Arial" w:eastAsia="Times New Roman" w:hAnsi="Arial" w:cs="Arial"/>
          <w:color w:val="006DB6"/>
          <w:sz w:val="36"/>
          <w:szCs w:val="32"/>
          <w:lang w:eastAsia="nl-NL"/>
        </w:rPr>
        <w:t xml:space="preserve"> </w:t>
      </w:r>
      <w:r w:rsidR="006C6011" w:rsidRPr="002507E0">
        <w:rPr>
          <w:rFonts w:ascii="Arial" w:eastAsia="Times New Roman" w:hAnsi="Arial" w:cs="Arial"/>
          <w:color w:val="006DB6"/>
          <w:sz w:val="36"/>
          <w:szCs w:val="32"/>
          <w:lang w:eastAsia="nl-NL"/>
        </w:rPr>
        <w:t xml:space="preserve">Study to investigate state of knowledge of deep sea mining </w:t>
      </w:r>
    </w:p>
    <w:p w:rsidR="00475DE2" w:rsidRPr="002507E0" w:rsidRDefault="00475DE2" w:rsidP="002507E0">
      <w:pPr>
        <w:pStyle w:val="Heading1"/>
        <w:keepNext w:val="0"/>
        <w:keepLines w:val="0"/>
        <w:tabs>
          <w:tab w:val="left" w:pos="0"/>
        </w:tabs>
        <w:spacing w:before="0" w:after="840" w:line="280" w:lineRule="atLeast"/>
        <w:rPr>
          <w:rFonts w:ascii="Arial" w:eastAsia="Times New Roman" w:hAnsi="Arial" w:cs="Arial"/>
          <w:color w:val="006DB6"/>
          <w:sz w:val="36"/>
          <w:szCs w:val="32"/>
          <w:lang w:eastAsia="nl-NL"/>
        </w:rPr>
      </w:pPr>
      <w:r w:rsidRPr="002507E0">
        <w:rPr>
          <w:rFonts w:ascii="Arial" w:eastAsia="Times New Roman" w:hAnsi="Arial" w:cs="Arial"/>
          <w:color w:val="006DB6"/>
          <w:sz w:val="36"/>
          <w:szCs w:val="32"/>
          <w:lang w:eastAsia="nl-NL"/>
        </w:rPr>
        <w:t>Consultation</w:t>
      </w:r>
      <w:r w:rsidR="00224EDC" w:rsidRPr="002507E0">
        <w:rPr>
          <w:rFonts w:ascii="Arial" w:eastAsia="Times New Roman" w:hAnsi="Arial" w:cs="Arial"/>
          <w:color w:val="006DB6"/>
          <w:sz w:val="36"/>
          <w:szCs w:val="32"/>
          <w:lang w:eastAsia="nl-NL"/>
        </w:rPr>
        <w:t xml:space="preserve"> Paper</w:t>
      </w:r>
    </w:p>
    <w:p w:rsidR="00FC5537" w:rsidRPr="002507E0" w:rsidRDefault="00FC5537" w:rsidP="002507E0">
      <w:pPr>
        <w:pStyle w:val="Heading2"/>
        <w:tabs>
          <w:tab w:val="left" w:pos="0"/>
        </w:tabs>
        <w:spacing w:before="0" w:after="280" w:line="280" w:lineRule="atLeast"/>
        <w:jc w:val="both"/>
        <w:rPr>
          <w:rFonts w:ascii="Arial" w:eastAsia="Times New Roman" w:hAnsi="Arial" w:cs="Arial"/>
          <w:b w:val="0"/>
          <w:iCs/>
          <w:color w:val="006DB6"/>
          <w:sz w:val="22"/>
          <w:szCs w:val="28"/>
          <w:lang w:eastAsia="nl-NL"/>
        </w:rPr>
      </w:pPr>
      <w:r w:rsidRPr="002507E0">
        <w:rPr>
          <w:rFonts w:ascii="Arial" w:eastAsia="Times New Roman" w:hAnsi="Arial" w:cs="Arial"/>
          <w:b w:val="0"/>
          <w:iCs/>
          <w:color w:val="006DB6"/>
          <w:sz w:val="22"/>
          <w:szCs w:val="28"/>
          <w:lang w:eastAsia="nl-NL"/>
        </w:rPr>
        <w:t>About the Consultation</w:t>
      </w:r>
    </w:p>
    <w:p w:rsidR="00FC5537" w:rsidRPr="002507E0" w:rsidRDefault="00FC5537" w:rsidP="002507E0">
      <w:pPr>
        <w:pStyle w:val="Heading3"/>
        <w:tabs>
          <w:tab w:val="num" w:pos="567"/>
        </w:tabs>
        <w:ind w:left="567" w:hanging="567"/>
      </w:pPr>
      <w:r w:rsidRPr="002507E0">
        <w:t>Purpose of the consultation</w:t>
      </w:r>
    </w:p>
    <w:p w:rsidR="00280A20" w:rsidRPr="002507E0" w:rsidRDefault="00280A20" w:rsidP="002507E0">
      <w:pPr>
        <w:spacing w:after="0" w:line="280" w:lineRule="atLeast"/>
        <w:jc w:val="both"/>
        <w:rPr>
          <w:rFonts w:ascii="Arial" w:hAnsi="Arial" w:cs="Arial"/>
          <w:sz w:val="18"/>
          <w:szCs w:val="18"/>
        </w:rPr>
      </w:pPr>
      <w:r w:rsidRPr="002507E0">
        <w:rPr>
          <w:rFonts w:ascii="Arial" w:hAnsi="Arial" w:cs="Arial"/>
          <w:sz w:val="18"/>
          <w:szCs w:val="18"/>
        </w:rPr>
        <w:t xml:space="preserve">This consultation paper has been prepared in support of a </w:t>
      </w:r>
      <w:r w:rsidR="0025631A">
        <w:rPr>
          <w:rFonts w:ascii="Arial" w:hAnsi="Arial" w:cs="Arial"/>
          <w:sz w:val="18"/>
          <w:szCs w:val="18"/>
        </w:rPr>
        <w:t>planned</w:t>
      </w:r>
      <w:r w:rsidRPr="002507E0">
        <w:rPr>
          <w:rFonts w:ascii="Arial" w:hAnsi="Arial" w:cs="Arial"/>
          <w:sz w:val="18"/>
          <w:szCs w:val="18"/>
        </w:rPr>
        <w:t xml:space="preserve"> communication </w:t>
      </w:r>
      <w:r w:rsidR="0025631A">
        <w:rPr>
          <w:rFonts w:ascii="Arial" w:hAnsi="Arial" w:cs="Arial"/>
          <w:sz w:val="18"/>
          <w:szCs w:val="18"/>
        </w:rPr>
        <w:t xml:space="preserve">by the European Commission </w:t>
      </w:r>
      <w:r w:rsidRPr="002507E0">
        <w:rPr>
          <w:rFonts w:ascii="Arial" w:hAnsi="Arial" w:cs="Arial"/>
          <w:sz w:val="18"/>
          <w:szCs w:val="18"/>
        </w:rPr>
        <w:t xml:space="preserve">on seabed mining. The communication intends to ensure that EU Member States and stakeholders are able to capitalise on the potential of seabed mining to generate sustainable growth and jobs.  </w:t>
      </w:r>
    </w:p>
    <w:p w:rsidR="005E08BC" w:rsidRPr="002507E0" w:rsidRDefault="005E08BC" w:rsidP="002507E0">
      <w:pPr>
        <w:spacing w:after="0" w:line="280" w:lineRule="atLeast"/>
        <w:jc w:val="both"/>
        <w:rPr>
          <w:rFonts w:ascii="Arial" w:hAnsi="Arial" w:cs="Arial"/>
          <w:sz w:val="18"/>
          <w:szCs w:val="18"/>
        </w:rPr>
      </w:pPr>
    </w:p>
    <w:p w:rsidR="00280A20" w:rsidRPr="002507E0" w:rsidRDefault="00280A20" w:rsidP="002507E0">
      <w:pPr>
        <w:spacing w:after="0" w:line="280" w:lineRule="atLeast"/>
        <w:jc w:val="both"/>
        <w:rPr>
          <w:rFonts w:ascii="Arial" w:hAnsi="Arial" w:cs="Arial"/>
          <w:sz w:val="18"/>
          <w:szCs w:val="18"/>
        </w:rPr>
      </w:pPr>
      <w:r w:rsidRPr="002507E0">
        <w:rPr>
          <w:rFonts w:ascii="Arial" w:hAnsi="Arial" w:cs="Arial"/>
          <w:sz w:val="18"/>
          <w:szCs w:val="18"/>
        </w:rPr>
        <w:t>Marine mining and deep sea mining are part of the EU`s Blue Growth strategy under the thematic area of marine mineral resources. The activ</w:t>
      </w:r>
      <w:bookmarkStart w:id="0" w:name="_GoBack"/>
      <w:bookmarkEnd w:id="0"/>
      <w:r w:rsidRPr="002507E0">
        <w:rPr>
          <w:rFonts w:ascii="Arial" w:hAnsi="Arial" w:cs="Arial"/>
          <w:sz w:val="18"/>
          <w:szCs w:val="18"/>
        </w:rPr>
        <w:t>ity encompasses the mining of a wide range of materials from the see bottom, ranging from aggrega</w:t>
      </w:r>
      <w:r w:rsidR="00466388" w:rsidRPr="002507E0">
        <w:rPr>
          <w:rFonts w:ascii="Arial" w:hAnsi="Arial" w:cs="Arial"/>
          <w:sz w:val="18"/>
          <w:szCs w:val="18"/>
        </w:rPr>
        <w:t>tes (sand, gravel) to shallow w</w:t>
      </w:r>
      <w:r w:rsidRPr="002507E0">
        <w:rPr>
          <w:rFonts w:ascii="Arial" w:hAnsi="Arial" w:cs="Arial"/>
          <w:sz w:val="18"/>
          <w:szCs w:val="18"/>
        </w:rPr>
        <w:t>a</w:t>
      </w:r>
      <w:r w:rsidR="00466388" w:rsidRPr="002507E0">
        <w:rPr>
          <w:rFonts w:ascii="Arial" w:hAnsi="Arial" w:cs="Arial"/>
          <w:sz w:val="18"/>
          <w:szCs w:val="18"/>
        </w:rPr>
        <w:t>t</w:t>
      </w:r>
      <w:r w:rsidRPr="002507E0">
        <w:rPr>
          <w:rFonts w:ascii="Arial" w:hAnsi="Arial" w:cs="Arial"/>
          <w:sz w:val="18"/>
          <w:szCs w:val="18"/>
        </w:rPr>
        <w:t xml:space="preserve">er mining of higher value materials (diamonds, </w:t>
      </w:r>
      <w:r w:rsidR="0025631A">
        <w:rPr>
          <w:rFonts w:ascii="Arial" w:hAnsi="Arial" w:cs="Arial"/>
          <w:sz w:val="18"/>
          <w:szCs w:val="18"/>
        </w:rPr>
        <w:t xml:space="preserve">gold, phosphates, tin, </w:t>
      </w:r>
      <w:r w:rsidRPr="002507E0">
        <w:rPr>
          <w:rFonts w:ascii="Arial" w:hAnsi="Arial" w:cs="Arial"/>
          <w:sz w:val="18"/>
          <w:szCs w:val="18"/>
        </w:rPr>
        <w:t xml:space="preserve">but also iron ore) to minerals such as copper, zinc, cobalt and gold that are mined at large depths. According to the Communication, up to 10% of global production of minerals such as cobalt, copper and zinc could come from the ocean floors by 2030, providing global annual turnover of up to €10 billion. </w:t>
      </w:r>
    </w:p>
    <w:p w:rsidR="005E08BC" w:rsidRPr="002507E0" w:rsidRDefault="005E08BC" w:rsidP="002507E0">
      <w:pPr>
        <w:spacing w:after="0" w:line="280" w:lineRule="atLeast"/>
        <w:jc w:val="both"/>
        <w:rPr>
          <w:rFonts w:ascii="Arial" w:hAnsi="Arial" w:cs="Arial"/>
          <w:sz w:val="18"/>
          <w:szCs w:val="18"/>
        </w:rPr>
      </w:pPr>
    </w:p>
    <w:p w:rsidR="00280A20" w:rsidRPr="002507E0" w:rsidRDefault="00280A20" w:rsidP="002507E0">
      <w:pPr>
        <w:spacing w:after="0" w:line="280" w:lineRule="atLeast"/>
        <w:jc w:val="both"/>
        <w:rPr>
          <w:rFonts w:ascii="Arial" w:hAnsi="Arial" w:cs="Arial"/>
          <w:sz w:val="18"/>
          <w:szCs w:val="18"/>
        </w:rPr>
      </w:pPr>
      <w:r w:rsidRPr="002507E0">
        <w:rPr>
          <w:rFonts w:ascii="Arial" w:hAnsi="Arial" w:cs="Arial"/>
          <w:sz w:val="18"/>
          <w:szCs w:val="18"/>
        </w:rPr>
        <w:t xml:space="preserve">Most of the current mining activities take place in shallow waters. </w:t>
      </w:r>
      <w:r w:rsidR="00BC2EA7" w:rsidRPr="002507E0">
        <w:rPr>
          <w:rFonts w:ascii="Arial" w:hAnsi="Arial" w:cs="Arial"/>
          <w:sz w:val="18"/>
          <w:szCs w:val="18"/>
        </w:rPr>
        <w:t xml:space="preserve">Offshore sand and gravel mining is a well-established industry many countries of the world including the Denmark, Netherlands and the UK. Diamond mining has also been successfully operated off the coast of Namibia and South Africa for a number of years. Experience, technology and knowledge gained through shallow mining as well as land mining is expected to serve future deep-sea mining operations, hence a number of questions </w:t>
      </w:r>
      <w:r w:rsidR="009871DA" w:rsidRPr="002507E0">
        <w:rPr>
          <w:rFonts w:ascii="Arial" w:hAnsi="Arial" w:cs="Arial"/>
          <w:sz w:val="18"/>
          <w:szCs w:val="18"/>
        </w:rPr>
        <w:t>relate to</w:t>
      </w:r>
      <w:r w:rsidR="00BC2EA7" w:rsidRPr="002507E0">
        <w:rPr>
          <w:rFonts w:ascii="Arial" w:hAnsi="Arial" w:cs="Arial"/>
          <w:sz w:val="18"/>
          <w:szCs w:val="18"/>
        </w:rPr>
        <w:t xml:space="preserve"> these two areas.  </w:t>
      </w:r>
    </w:p>
    <w:p w:rsidR="00280A20" w:rsidRPr="002507E0" w:rsidRDefault="00280A20" w:rsidP="002507E0">
      <w:pPr>
        <w:spacing w:after="0" w:line="280" w:lineRule="atLeast"/>
        <w:jc w:val="both"/>
        <w:rPr>
          <w:rFonts w:ascii="Arial" w:hAnsi="Arial" w:cs="Arial"/>
          <w:sz w:val="18"/>
          <w:szCs w:val="18"/>
        </w:rPr>
      </w:pPr>
    </w:p>
    <w:p w:rsidR="005E08BC" w:rsidRPr="002507E0" w:rsidRDefault="00280A20" w:rsidP="002507E0">
      <w:pPr>
        <w:spacing w:after="0" w:line="280" w:lineRule="atLeast"/>
        <w:jc w:val="both"/>
        <w:rPr>
          <w:rFonts w:ascii="Arial" w:hAnsi="Arial" w:cs="Arial"/>
          <w:sz w:val="18"/>
          <w:szCs w:val="18"/>
        </w:rPr>
      </w:pPr>
      <w:r w:rsidRPr="002507E0">
        <w:rPr>
          <w:rFonts w:ascii="Arial" w:hAnsi="Arial" w:cs="Arial"/>
          <w:sz w:val="18"/>
          <w:szCs w:val="18"/>
        </w:rPr>
        <w:t xml:space="preserve">Mining in the deep sea is still a novel activity. To investigate the potential of deep sea mining a study to investigate the state of knowledge of deep sea mining is carried out by </w:t>
      </w:r>
      <w:proofErr w:type="spellStart"/>
      <w:r w:rsidRPr="002507E0">
        <w:rPr>
          <w:rFonts w:ascii="Arial" w:hAnsi="Arial" w:cs="Arial"/>
          <w:sz w:val="18"/>
          <w:szCs w:val="18"/>
        </w:rPr>
        <w:t>Ecorys</w:t>
      </w:r>
      <w:proofErr w:type="spellEnd"/>
      <w:r w:rsidRPr="002507E0">
        <w:rPr>
          <w:rFonts w:ascii="Arial" w:hAnsi="Arial" w:cs="Arial"/>
          <w:sz w:val="18"/>
          <w:szCs w:val="18"/>
        </w:rPr>
        <w:t xml:space="preserve"> under contract from the European Commission.</w:t>
      </w:r>
    </w:p>
    <w:p w:rsidR="00280A20" w:rsidRPr="002507E0" w:rsidRDefault="00280A20" w:rsidP="002507E0">
      <w:pPr>
        <w:spacing w:after="0" w:line="280" w:lineRule="atLeast"/>
        <w:jc w:val="both"/>
        <w:rPr>
          <w:rFonts w:ascii="Arial" w:hAnsi="Arial" w:cs="Arial"/>
          <w:sz w:val="18"/>
          <w:szCs w:val="18"/>
        </w:rPr>
      </w:pPr>
    </w:p>
    <w:p w:rsidR="005E08BC" w:rsidRPr="002507E0" w:rsidRDefault="00280A20" w:rsidP="002507E0">
      <w:pPr>
        <w:spacing w:after="0" w:line="280" w:lineRule="atLeast"/>
        <w:jc w:val="both"/>
        <w:rPr>
          <w:rFonts w:ascii="Arial" w:hAnsi="Arial" w:cs="Arial"/>
          <w:sz w:val="18"/>
          <w:szCs w:val="18"/>
        </w:rPr>
      </w:pPr>
      <w:r w:rsidRPr="002507E0">
        <w:rPr>
          <w:rFonts w:ascii="Arial" w:hAnsi="Arial" w:cs="Arial"/>
          <w:sz w:val="18"/>
          <w:szCs w:val="18"/>
        </w:rPr>
        <w:t xml:space="preserve">The main purpose of this study is to feed information, data and specific examples to identify potential for sustainable growth and job creation and to ascertain </w:t>
      </w:r>
      <w:r w:rsidR="005513EE" w:rsidRPr="002507E0">
        <w:rPr>
          <w:rFonts w:ascii="Arial" w:hAnsi="Arial" w:cs="Arial"/>
          <w:sz w:val="18"/>
          <w:szCs w:val="18"/>
        </w:rPr>
        <w:t>the degree to which</w:t>
      </w:r>
      <w:r w:rsidRPr="002507E0">
        <w:rPr>
          <w:rFonts w:ascii="Arial" w:hAnsi="Arial" w:cs="Arial"/>
          <w:sz w:val="18"/>
          <w:szCs w:val="18"/>
        </w:rPr>
        <w:t xml:space="preserve"> policy making could support the development of the sector. </w:t>
      </w:r>
      <w:r w:rsidR="005E08BC" w:rsidRPr="002507E0">
        <w:rPr>
          <w:rFonts w:ascii="Arial" w:hAnsi="Arial" w:cs="Arial"/>
          <w:sz w:val="18"/>
          <w:szCs w:val="18"/>
        </w:rPr>
        <w:t xml:space="preserve">The </w:t>
      </w:r>
      <w:r w:rsidR="005513EE" w:rsidRPr="002507E0">
        <w:rPr>
          <w:rFonts w:ascii="Arial" w:hAnsi="Arial" w:cs="Arial"/>
          <w:sz w:val="18"/>
          <w:szCs w:val="18"/>
        </w:rPr>
        <w:t>study</w:t>
      </w:r>
      <w:r w:rsidR="005E08BC" w:rsidRPr="002507E0">
        <w:rPr>
          <w:rFonts w:ascii="Arial" w:hAnsi="Arial" w:cs="Arial"/>
          <w:sz w:val="18"/>
          <w:szCs w:val="18"/>
        </w:rPr>
        <w:t xml:space="preserve"> will look at </w:t>
      </w:r>
      <w:r w:rsidR="0025631A">
        <w:rPr>
          <w:rFonts w:ascii="Arial" w:hAnsi="Arial" w:cs="Arial"/>
          <w:sz w:val="18"/>
          <w:szCs w:val="18"/>
        </w:rPr>
        <w:t>three</w:t>
      </w:r>
      <w:r w:rsidR="005E08BC" w:rsidRPr="002507E0">
        <w:rPr>
          <w:rFonts w:ascii="Arial" w:hAnsi="Arial" w:cs="Arial"/>
          <w:sz w:val="18"/>
          <w:szCs w:val="18"/>
        </w:rPr>
        <w:t xml:space="preserve"> main types of deep sea mining, these are: </w:t>
      </w:r>
    </w:p>
    <w:p w:rsidR="005E08BC" w:rsidRPr="002507E0" w:rsidRDefault="005E08BC" w:rsidP="002507E0">
      <w:pPr>
        <w:pStyle w:val="ListBullet"/>
        <w:spacing w:after="0" w:line="280" w:lineRule="atLeast"/>
        <w:jc w:val="both"/>
        <w:rPr>
          <w:rFonts w:ascii="Arial" w:hAnsi="Arial" w:cs="Arial"/>
          <w:sz w:val="18"/>
          <w:szCs w:val="18"/>
        </w:rPr>
      </w:pPr>
      <w:proofErr w:type="spellStart"/>
      <w:r w:rsidRPr="002507E0">
        <w:rPr>
          <w:rFonts w:ascii="Arial" w:hAnsi="Arial" w:cs="Arial"/>
          <w:sz w:val="18"/>
          <w:szCs w:val="18"/>
        </w:rPr>
        <w:t>Polymetallic</w:t>
      </w:r>
      <w:proofErr w:type="spellEnd"/>
      <w:r w:rsidRPr="002507E0">
        <w:rPr>
          <w:rFonts w:ascii="Arial" w:hAnsi="Arial" w:cs="Arial"/>
          <w:sz w:val="18"/>
          <w:szCs w:val="18"/>
        </w:rPr>
        <w:t xml:space="preserve"> nodules;</w:t>
      </w:r>
    </w:p>
    <w:p w:rsidR="005E08BC" w:rsidRPr="002507E0" w:rsidRDefault="00D97E94" w:rsidP="002507E0">
      <w:pPr>
        <w:pStyle w:val="ListBullet"/>
        <w:spacing w:after="0" w:line="280" w:lineRule="atLeast"/>
        <w:jc w:val="both"/>
        <w:rPr>
          <w:rFonts w:ascii="Arial" w:hAnsi="Arial" w:cs="Arial"/>
          <w:sz w:val="18"/>
          <w:szCs w:val="18"/>
        </w:rPr>
      </w:pPr>
      <w:proofErr w:type="spellStart"/>
      <w:r w:rsidRPr="002507E0">
        <w:rPr>
          <w:rFonts w:ascii="Arial" w:hAnsi="Arial" w:cs="Arial"/>
          <w:sz w:val="18"/>
          <w:szCs w:val="18"/>
        </w:rPr>
        <w:t>Polymetallic</w:t>
      </w:r>
      <w:proofErr w:type="spellEnd"/>
      <w:r w:rsidRPr="002507E0">
        <w:rPr>
          <w:rFonts w:ascii="Arial" w:hAnsi="Arial" w:cs="Arial"/>
          <w:sz w:val="18"/>
          <w:szCs w:val="18"/>
        </w:rPr>
        <w:t xml:space="preserve"> sulphides;</w:t>
      </w:r>
    </w:p>
    <w:p w:rsidR="00D97E94" w:rsidRPr="0025631A" w:rsidRDefault="0025631A" w:rsidP="0025631A">
      <w:pPr>
        <w:pStyle w:val="ListBullet"/>
        <w:spacing w:after="0" w:line="280" w:lineRule="atLeast"/>
        <w:jc w:val="both"/>
        <w:rPr>
          <w:rFonts w:ascii="Arial" w:hAnsi="Arial" w:cs="Arial"/>
          <w:sz w:val="18"/>
          <w:szCs w:val="18"/>
        </w:rPr>
      </w:pPr>
      <w:r>
        <w:rPr>
          <w:rFonts w:ascii="Arial" w:hAnsi="Arial" w:cs="Arial"/>
          <w:sz w:val="18"/>
          <w:szCs w:val="18"/>
        </w:rPr>
        <w:t>Cobalt-rich crusts.</w:t>
      </w:r>
    </w:p>
    <w:p w:rsidR="005513EE" w:rsidRPr="002507E0" w:rsidRDefault="005513EE" w:rsidP="002507E0">
      <w:pPr>
        <w:pStyle w:val="ListBullet"/>
        <w:numPr>
          <w:ilvl w:val="0"/>
          <w:numId w:val="0"/>
        </w:numPr>
        <w:spacing w:after="0" w:line="280" w:lineRule="atLeast"/>
        <w:ind w:left="360"/>
        <w:jc w:val="both"/>
        <w:rPr>
          <w:rFonts w:ascii="Arial" w:hAnsi="Arial" w:cs="Arial"/>
          <w:sz w:val="18"/>
          <w:szCs w:val="18"/>
        </w:rPr>
      </w:pPr>
    </w:p>
    <w:p w:rsidR="00FC5537" w:rsidRPr="002507E0" w:rsidRDefault="00BA4192" w:rsidP="002507E0">
      <w:pPr>
        <w:pStyle w:val="Heading3"/>
        <w:tabs>
          <w:tab w:val="num" w:pos="567"/>
        </w:tabs>
        <w:ind w:left="567" w:hanging="567"/>
      </w:pPr>
      <w:r w:rsidRPr="002507E0">
        <w:t>Scope</w:t>
      </w:r>
      <w:r w:rsidR="00FC5537" w:rsidRPr="002507E0">
        <w:t xml:space="preserve"> of the consultation</w:t>
      </w:r>
    </w:p>
    <w:p w:rsidR="00280A20" w:rsidRPr="002507E0" w:rsidRDefault="00280A20" w:rsidP="002507E0">
      <w:pPr>
        <w:spacing w:after="0" w:line="280" w:lineRule="atLeast"/>
        <w:jc w:val="both"/>
        <w:rPr>
          <w:rFonts w:ascii="Arial" w:hAnsi="Arial" w:cs="Arial"/>
          <w:sz w:val="18"/>
          <w:szCs w:val="18"/>
        </w:rPr>
      </w:pPr>
      <w:r w:rsidRPr="002507E0">
        <w:rPr>
          <w:rFonts w:ascii="Arial" w:hAnsi="Arial" w:cs="Arial"/>
          <w:sz w:val="18"/>
          <w:szCs w:val="18"/>
        </w:rPr>
        <w:t>The consultation focuses on identifying the current state and potential of marine mining in terms of jobs, future development, competitive position of Europe and investment potential. At the same time an assessment is made of the key bottlenecks and main challenges in the sector.</w:t>
      </w:r>
    </w:p>
    <w:p w:rsidR="00280A20" w:rsidRPr="002507E0" w:rsidRDefault="00280A20" w:rsidP="002507E0">
      <w:pPr>
        <w:spacing w:after="0" w:line="280" w:lineRule="atLeast"/>
        <w:jc w:val="both"/>
        <w:rPr>
          <w:rFonts w:ascii="Arial" w:hAnsi="Arial" w:cs="Arial"/>
          <w:sz w:val="18"/>
          <w:szCs w:val="18"/>
        </w:rPr>
      </w:pPr>
    </w:p>
    <w:p w:rsidR="00280A20" w:rsidRPr="002507E0" w:rsidRDefault="00280A20" w:rsidP="002507E0">
      <w:pPr>
        <w:spacing w:after="0" w:line="280" w:lineRule="atLeast"/>
        <w:jc w:val="both"/>
        <w:rPr>
          <w:rFonts w:ascii="Arial" w:hAnsi="Arial" w:cs="Arial"/>
          <w:sz w:val="18"/>
          <w:szCs w:val="18"/>
        </w:rPr>
      </w:pPr>
      <w:r w:rsidRPr="002507E0">
        <w:rPr>
          <w:rFonts w:ascii="Arial" w:hAnsi="Arial" w:cs="Arial"/>
          <w:sz w:val="18"/>
          <w:szCs w:val="18"/>
        </w:rPr>
        <w:t>Within the consultation three main types of mining are distinguished:</w:t>
      </w:r>
    </w:p>
    <w:p w:rsidR="00280A20" w:rsidRPr="002507E0" w:rsidRDefault="00280A20" w:rsidP="002507E0">
      <w:pPr>
        <w:pStyle w:val="ListParagraph"/>
        <w:numPr>
          <w:ilvl w:val="0"/>
          <w:numId w:val="6"/>
        </w:numPr>
        <w:spacing w:after="0" w:line="280" w:lineRule="atLeast"/>
        <w:ind w:left="426"/>
        <w:jc w:val="both"/>
        <w:rPr>
          <w:rFonts w:ascii="Arial" w:hAnsi="Arial" w:cs="Arial"/>
          <w:sz w:val="18"/>
          <w:szCs w:val="18"/>
        </w:rPr>
      </w:pPr>
      <w:r w:rsidRPr="002507E0">
        <w:rPr>
          <w:rFonts w:ascii="Arial" w:hAnsi="Arial" w:cs="Arial"/>
          <w:sz w:val="18"/>
          <w:szCs w:val="18"/>
        </w:rPr>
        <w:t>Shallow water aggregates mining</w:t>
      </w:r>
      <w:r w:rsidR="002507E0">
        <w:rPr>
          <w:rFonts w:ascii="Arial" w:hAnsi="Arial" w:cs="Arial"/>
          <w:sz w:val="18"/>
          <w:szCs w:val="18"/>
        </w:rPr>
        <w:t>;</w:t>
      </w:r>
    </w:p>
    <w:p w:rsidR="00280A20" w:rsidRPr="002507E0" w:rsidRDefault="00280A20" w:rsidP="002507E0">
      <w:pPr>
        <w:pStyle w:val="ListParagraph"/>
        <w:numPr>
          <w:ilvl w:val="0"/>
          <w:numId w:val="6"/>
        </w:numPr>
        <w:spacing w:after="0" w:line="280" w:lineRule="atLeast"/>
        <w:ind w:left="426"/>
        <w:jc w:val="both"/>
        <w:rPr>
          <w:rFonts w:ascii="Arial" w:hAnsi="Arial" w:cs="Arial"/>
          <w:sz w:val="18"/>
          <w:szCs w:val="18"/>
        </w:rPr>
      </w:pPr>
      <w:r w:rsidRPr="002507E0">
        <w:rPr>
          <w:rFonts w:ascii="Arial" w:hAnsi="Arial" w:cs="Arial"/>
          <w:sz w:val="18"/>
          <w:szCs w:val="18"/>
        </w:rPr>
        <w:t>Shallow water mining of higher value materials (</w:t>
      </w:r>
      <w:r w:rsidR="0025631A">
        <w:rPr>
          <w:rFonts w:ascii="Arial" w:hAnsi="Arial" w:cs="Arial"/>
          <w:sz w:val="18"/>
          <w:szCs w:val="18"/>
        </w:rPr>
        <w:t xml:space="preserve">incl. </w:t>
      </w:r>
      <w:r w:rsidRPr="002507E0">
        <w:rPr>
          <w:rFonts w:ascii="Arial" w:hAnsi="Arial" w:cs="Arial"/>
          <w:sz w:val="18"/>
          <w:szCs w:val="18"/>
        </w:rPr>
        <w:t>gold, diamonds iron ore)</w:t>
      </w:r>
      <w:r w:rsidR="002507E0">
        <w:rPr>
          <w:rFonts w:ascii="Arial" w:hAnsi="Arial" w:cs="Arial"/>
          <w:sz w:val="18"/>
          <w:szCs w:val="18"/>
        </w:rPr>
        <w:t>;</w:t>
      </w:r>
    </w:p>
    <w:p w:rsidR="00280A20" w:rsidRPr="002507E0" w:rsidRDefault="00280A20" w:rsidP="002507E0">
      <w:pPr>
        <w:pStyle w:val="ListParagraph"/>
        <w:numPr>
          <w:ilvl w:val="0"/>
          <w:numId w:val="6"/>
        </w:numPr>
        <w:spacing w:after="0" w:line="280" w:lineRule="atLeast"/>
        <w:ind w:left="426"/>
        <w:jc w:val="both"/>
        <w:rPr>
          <w:rFonts w:ascii="Arial" w:hAnsi="Arial" w:cs="Arial"/>
          <w:sz w:val="18"/>
          <w:szCs w:val="18"/>
        </w:rPr>
      </w:pPr>
      <w:r w:rsidRPr="002507E0">
        <w:rPr>
          <w:rFonts w:ascii="Arial" w:hAnsi="Arial" w:cs="Arial"/>
          <w:sz w:val="18"/>
          <w:szCs w:val="18"/>
        </w:rPr>
        <w:lastRenderedPageBreak/>
        <w:t>Deep sea mining (h</w:t>
      </w:r>
      <w:r w:rsidR="00BC3A66" w:rsidRPr="002507E0">
        <w:rPr>
          <w:rFonts w:ascii="Arial" w:hAnsi="Arial" w:cs="Arial"/>
          <w:sz w:val="18"/>
          <w:szCs w:val="18"/>
        </w:rPr>
        <w:t>igh value metals and minerals)</w:t>
      </w:r>
      <w:r w:rsidR="002507E0">
        <w:rPr>
          <w:rFonts w:ascii="Arial" w:hAnsi="Arial" w:cs="Arial"/>
          <w:sz w:val="18"/>
          <w:szCs w:val="18"/>
        </w:rPr>
        <w:t>.</w:t>
      </w:r>
    </w:p>
    <w:p w:rsidR="00280A20" w:rsidRPr="002507E0" w:rsidRDefault="00280A20" w:rsidP="002507E0">
      <w:pPr>
        <w:spacing w:after="0" w:line="280" w:lineRule="atLeast"/>
        <w:jc w:val="both"/>
        <w:rPr>
          <w:rFonts w:ascii="Arial" w:hAnsi="Arial" w:cs="Arial"/>
          <w:sz w:val="18"/>
          <w:szCs w:val="18"/>
        </w:rPr>
      </w:pPr>
    </w:p>
    <w:p w:rsidR="00BB2D91" w:rsidRPr="002507E0" w:rsidRDefault="003D7883" w:rsidP="002507E0">
      <w:pPr>
        <w:spacing w:after="0" w:line="280" w:lineRule="atLeast"/>
        <w:jc w:val="both"/>
        <w:rPr>
          <w:rFonts w:ascii="Arial" w:hAnsi="Arial" w:cs="Arial"/>
          <w:sz w:val="18"/>
          <w:szCs w:val="18"/>
        </w:rPr>
      </w:pPr>
      <w:r w:rsidRPr="002507E0">
        <w:rPr>
          <w:rFonts w:ascii="Arial" w:hAnsi="Arial" w:cs="Arial"/>
          <w:sz w:val="18"/>
          <w:szCs w:val="18"/>
        </w:rPr>
        <w:t>W</w:t>
      </w:r>
      <w:r w:rsidR="00D7675C" w:rsidRPr="002507E0">
        <w:rPr>
          <w:rFonts w:ascii="Arial" w:hAnsi="Arial" w:cs="Arial"/>
          <w:sz w:val="18"/>
          <w:szCs w:val="18"/>
        </w:rPr>
        <w:t xml:space="preserve">e recognise that </w:t>
      </w:r>
      <w:r w:rsidR="00BC3A66" w:rsidRPr="002507E0">
        <w:rPr>
          <w:rFonts w:ascii="Arial" w:hAnsi="Arial" w:cs="Arial"/>
          <w:sz w:val="18"/>
          <w:szCs w:val="18"/>
        </w:rPr>
        <w:t xml:space="preserve">there are </w:t>
      </w:r>
      <w:r w:rsidR="00D7675C" w:rsidRPr="002507E0">
        <w:rPr>
          <w:rFonts w:ascii="Arial" w:hAnsi="Arial" w:cs="Arial"/>
          <w:sz w:val="18"/>
          <w:szCs w:val="18"/>
        </w:rPr>
        <w:t xml:space="preserve">some questions </w:t>
      </w:r>
      <w:r w:rsidR="00BC3A66" w:rsidRPr="002507E0">
        <w:rPr>
          <w:rFonts w:ascii="Arial" w:hAnsi="Arial" w:cs="Arial"/>
          <w:sz w:val="18"/>
          <w:szCs w:val="18"/>
        </w:rPr>
        <w:t>that you</w:t>
      </w:r>
      <w:r w:rsidR="00D7675C" w:rsidRPr="002507E0">
        <w:rPr>
          <w:rFonts w:ascii="Arial" w:hAnsi="Arial" w:cs="Arial"/>
          <w:sz w:val="18"/>
          <w:szCs w:val="18"/>
        </w:rPr>
        <w:t xml:space="preserve"> might not be familiar with or might not be relevant to you; in this case, simply tick the “not applicable” options and proceed to the next question. For the questions which you are familiar with, please provide your views in the box provided and, where possible, in</w:t>
      </w:r>
      <w:r w:rsidRPr="002507E0">
        <w:rPr>
          <w:rFonts w:ascii="Arial" w:hAnsi="Arial" w:cs="Arial"/>
          <w:sz w:val="18"/>
          <w:szCs w:val="18"/>
        </w:rPr>
        <w:t xml:space="preserve">dicate </w:t>
      </w:r>
      <w:r w:rsidR="00BC3A66" w:rsidRPr="002507E0">
        <w:rPr>
          <w:rFonts w:ascii="Arial" w:hAnsi="Arial" w:cs="Arial"/>
          <w:sz w:val="18"/>
          <w:szCs w:val="18"/>
        </w:rPr>
        <w:t>your best estimate with regard to figures</w:t>
      </w:r>
      <w:r w:rsidRPr="002507E0">
        <w:rPr>
          <w:rFonts w:ascii="Arial" w:hAnsi="Arial" w:cs="Arial"/>
          <w:sz w:val="18"/>
          <w:szCs w:val="18"/>
        </w:rPr>
        <w:t xml:space="preserve">. </w:t>
      </w:r>
      <w:r w:rsidR="00D7675C" w:rsidRPr="002507E0">
        <w:rPr>
          <w:rFonts w:ascii="Arial" w:hAnsi="Arial" w:cs="Arial"/>
          <w:sz w:val="18"/>
          <w:szCs w:val="18"/>
        </w:rPr>
        <w:t xml:space="preserve"> </w:t>
      </w:r>
    </w:p>
    <w:p w:rsidR="003D7883" w:rsidRPr="002507E0" w:rsidRDefault="003D7883" w:rsidP="002507E0">
      <w:pPr>
        <w:spacing w:after="0" w:line="280" w:lineRule="atLeast"/>
        <w:jc w:val="both"/>
        <w:rPr>
          <w:rFonts w:ascii="Arial" w:hAnsi="Arial" w:cs="Arial"/>
          <w:sz w:val="18"/>
          <w:szCs w:val="18"/>
        </w:rPr>
      </w:pPr>
    </w:p>
    <w:p w:rsidR="003D7883" w:rsidRPr="002507E0" w:rsidRDefault="00BA4192" w:rsidP="002507E0">
      <w:pPr>
        <w:pStyle w:val="Heading3"/>
        <w:tabs>
          <w:tab w:val="num" w:pos="567"/>
        </w:tabs>
        <w:ind w:left="567" w:hanging="567"/>
      </w:pPr>
      <w:r w:rsidRPr="002507E0">
        <w:t xml:space="preserve">Timing: </w:t>
      </w:r>
      <w:r w:rsidR="003D7883" w:rsidRPr="002507E0">
        <w:t>How can I contribute?</w:t>
      </w:r>
    </w:p>
    <w:p w:rsidR="005B3981" w:rsidRPr="002507E0" w:rsidRDefault="00202F97" w:rsidP="002507E0">
      <w:pPr>
        <w:spacing w:after="0" w:line="280" w:lineRule="atLeast"/>
        <w:jc w:val="both"/>
        <w:rPr>
          <w:rFonts w:ascii="Arial" w:hAnsi="Arial" w:cs="Arial"/>
          <w:sz w:val="18"/>
          <w:szCs w:val="18"/>
        </w:rPr>
      </w:pPr>
      <w:r w:rsidRPr="002507E0">
        <w:rPr>
          <w:rFonts w:ascii="Arial" w:hAnsi="Arial" w:cs="Arial"/>
          <w:sz w:val="18"/>
          <w:szCs w:val="18"/>
        </w:rPr>
        <w:t xml:space="preserve">We would like to receive your completed questionnaire by </w:t>
      </w:r>
      <w:r w:rsidR="008B2A67" w:rsidRPr="002507E0">
        <w:rPr>
          <w:rFonts w:ascii="Arial" w:hAnsi="Arial" w:cs="Arial"/>
          <w:b/>
          <w:sz w:val="18"/>
          <w:szCs w:val="18"/>
          <w:highlight w:val="yellow"/>
        </w:rPr>
        <w:t>16</w:t>
      </w:r>
      <w:r w:rsidRPr="002507E0">
        <w:rPr>
          <w:rFonts w:ascii="Arial" w:hAnsi="Arial" w:cs="Arial"/>
          <w:b/>
          <w:sz w:val="18"/>
          <w:szCs w:val="18"/>
          <w:highlight w:val="yellow"/>
        </w:rPr>
        <w:t xml:space="preserve"> </w:t>
      </w:r>
      <w:r w:rsidR="008B2A67" w:rsidRPr="002507E0">
        <w:rPr>
          <w:rFonts w:ascii="Arial" w:hAnsi="Arial" w:cs="Arial"/>
          <w:b/>
          <w:sz w:val="18"/>
          <w:szCs w:val="18"/>
          <w:highlight w:val="yellow"/>
        </w:rPr>
        <w:t>May</w:t>
      </w:r>
      <w:r w:rsidR="002B71A1" w:rsidRPr="002507E0">
        <w:rPr>
          <w:rFonts w:ascii="Arial" w:hAnsi="Arial" w:cs="Arial"/>
          <w:b/>
          <w:sz w:val="18"/>
          <w:szCs w:val="18"/>
          <w:highlight w:val="yellow"/>
        </w:rPr>
        <w:t xml:space="preserve"> 2014</w:t>
      </w:r>
      <w:r w:rsidRPr="002507E0">
        <w:rPr>
          <w:rFonts w:ascii="Arial" w:hAnsi="Arial" w:cs="Arial"/>
          <w:sz w:val="18"/>
          <w:szCs w:val="18"/>
        </w:rPr>
        <w:t xml:space="preserve">. However, if you would like to respond to this survey but are unable to do so before this date, please let us know as soon as possible. While the questionnaire is provided in English, we are happy to accept completed responses in other European languages. </w:t>
      </w:r>
    </w:p>
    <w:p w:rsidR="003D7883" w:rsidRPr="002507E0" w:rsidRDefault="003D7883" w:rsidP="002507E0">
      <w:pPr>
        <w:spacing w:after="0" w:line="280" w:lineRule="atLeast"/>
        <w:jc w:val="both"/>
        <w:rPr>
          <w:rFonts w:ascii="Arial" w:hAnsi="Arial" w:cs="Arial"/>
          <w:sz w:val="18"/>
          <w:szCs w:val="18"/>
        </w:rPr>
      </w:pPr>
    </w:p>
    <w:p w:rsidR="003D7883" w:rsidRPr="002507E0" w:rsidRDefault="003D7883" w:rsidP="002507E0">
      <w:pPr>
        <w:pStyle w:val="Heading3"/>
        <w:tabs>
          <w:tab w:val="num" w:pos="567"/>
        </w:tabs>
        <w:ind w:left="567" w:hanging="567"/>
      </w:pPr>
      <w:r w:rsidRPr="002507E0">
        <w:t>What happens next?</w:t>
      </w:r>
    </w:p>
    <w:p w:rsidR="003D7883" w:rsidRPr="002507E0" w:rsidRDefault="003D7883" w:rsidP="00D12B15">
      <w:pPr>
        <w:spacing w:after="0" w:line="280" w:lineRule="atLeast"/>
        <w:jc w:val="both"/>
        <w:rPr>
          <w:rFonts w:ascii="Arial" w:hAnsi="Arial" w:cs="Arial"/>
          <w:sz w:val="18"/>
          <w:szCs w:val="18"/>
        </w:rPr>
      </w:pPr>
      <w:r w:rsidRPr="002507E0">
        <w:rPr>
          <w:rFonts w:ascii="Arial" w:hAnsi="Arial" w:cs="Arial"/>
          <w:sz w:val="18"/>
          <w:szCs w:val="18"/>
        </w:rPr>
        <w:t xml:space="preserve">Responses in the public consultation will be used in preparing reports for the Commission which, subsequently, may be published. </w:t>
      </w:r>
    </w:p>
    <w:p w:rsidR="003D7883" w:rsidRPr="002507E0" w:rsidRDefault="003D7883" w:rsidP="00D12B15">
      <w:pPr>
        <w:spacing w:after="0" w:line="280" w:lineRule="atLeast"/>
        <w:jc w:val="both"/>
        <w:rPr>
          <w:rFonts w:ascii="Arial" w:hAnsi="Arial" w:cs="Arial"/>
          <w:sz w:val="18"/>
          <w:szCs w:val="18"/>
        </w:rPr>
      </w:pPr>
    </w:p>
    <w:p w:rsidR="003D7883" w:rsidRDefault="003D7883" w:rsidP="00D12B15">
      <w:pPr>
        <w:spacing w:after="0" w:line="280" w:lineRule="atLeast"/>
        <w:jc w:val="both"/>
        <w:rPr>
          <w:rFonts w:ascii="Arial" w:hAnsi="Arial" w:cs="Arial"/>
          <w:sz w:val="18"/>
          <w:szCs w:val="18"/>
        </w:rPr>
      </w:pPr>
      <w:r w:rsidRPr="002507E0">
        <w:rPr>
          <w:rFonts w:ascii="Arial" w:hAnsi="Arial" w:cs="Arial"/>
          <w:sz w:val="18"/>
          <w:szCs w:val="18"/>
        </w:rPr>
        <w:t xml:space="preserve">If you have specific concerns about how your data will be treated (or on the study more </w:t>
      </w:r>
      <w:r w:rsidR="00D97E94" w:rsidRPr="002507E0">
        <w:rPr>
          <w:rFonts w:ascii="Arial" w:hAnsi="Arial" w:cs="Arial"/>
          <w:sz w:val="18"/>
          <w:szCs w:val="18"/>
        </w:rPr>
        <w:t>g</w:t>
      </w:r>
      <w:r w:rsidRPr="002507E0">
        <w:rPr>
          <w:rFonts w:ascii="Arial" w:hAnsi="Arial" w:cs="Arial"/>
          <w:sz w:val="18"/>
          <w:szCs w:val="18"/>
        </w:rPr>
        <w:t>enerally), please contact us in the following email and we will be happy to address your concerns.</w:t>
      </w:r>
    </w:p>
    <w:p w:rsidR="002507E0" w:rsidRPr="002507E0" w:rsidRDefault="002507E0" w:rsidP="00D12B15">
      <w:pPr>
        <w:spacing w:after="0" w:line="280" w:lineRule="atLeast"/>
        <w:jc w:val="both"/>
        <w:rPr>
          <w:rFonts w:ascii="Arial" w:hAnsi="Arial" w:cs="Arial"/>
          <w:sz w:val="18"/>
          <w:szCs w:val="18"/>
        </w:rPr>
      </w:pPr>
    </w:p>
    <w:p w:rsidR="003D7883" w:rsidRPr="002507E0" w:rsidRDefault="00642F10" w:rsidP="002507E0">
      <w:pPr>
        <w:pStyle w:val="Heading2"/>
        <w:tabs>
          <w:tab w:val="left" w:pos="0"/>
        </w:tabs>
        <w:spacing w:before="0" w:after="280" w:line="280" w:lineRule="atLeast"/>
        <w:jc w:val="both"/>
        <w:rPr>
          <w:rFonts w:ascii="Arial" w:eastAsia="Times New Roman" w:hAnsi="Arial" w:cs="Arial"/>
          <w:b w:val="0"/>
          <w:iCs/>
          <w:color w:val="006DB6"/>
          <w:sz w:val="22"/>
          <w:szCs w:val="28"/>
          <w:lang w:eastAsia="nl-NL"/>
        </w:rPr>
      </w:pPr>
      <w:r w:rsidRPr="002507E0">
        <w:rPr>
          <w:rFonts w:ascii="Arial" w:eastAsia="Times New Roman" w:hAnsi="Arial" w:cs="Arial"/>
          <w:b w:val="0"/>
          <w:iCs/>
          <w:color w:val="006DB6"/>
          <w:sz w:val="22"/>
          <w:szCs w:val="28"/>
          <w:lang w:eastAsia="nl-NL"/>
        </w:rPr>
        <w:t>The c</w:t>
      </w:r>
      <w:r w:rsidR="003D7883" w:rsidRPr="002507E0">
        <w:rPr>
          <w:rFonts w:ascii="Arial" w:eastAsia="Times New Roman" w:hAnsi="Arial" w:cs="Arial"/>
          <w:b w:val="0"/>
          <w:iCs/>
          <w:color w:val="006DB6"/>
          <w:sz w:val="22"/>
          <w:szCs w:val="28"/>
          <w:lang w:eastAsia="nl-NL"/>
        </w:rPr>
        <w:t xml:space="preserve">onsultation </w:t>
      </w:r>
    </w:p>
    <w:p w:rsidR="003D7883" w:rsidRPr="002507E0" w:rsidRDefault="003D7883" w:rsidP="002507E0">
      <w:pPr>
        <w:pStyle w:val="Heading3"/>
        <w:tabs>
          <w:tab w:val="num" w:pos="567"/>
        </w:tabs>
        <w:ind w:left="567" w:hanging="567"/>
      </w:pPr>
      <w:r w:rsidRPr="002507E0">
        <w:t>Stakeholders</w:t>
      </w:r>
      <w:r w:rsidR="00642F10" w:rsidRPr="002507E0">
        <w:t xml:space="preserve"> involved</w:t>
      </w:r>
    </w:p>
    <w:p w:rsidR="003D7883" w:rsidRDefault="00B519D0" w:rsidP="00D12B15">
      <w:pPr>
        <w:spacing w:after="0" w:line="280" w:lineRule="atLeast"/>
        <w:jc w:val="both"/>
        <w:rPr>
          <w:rFonts w:ascii="Arial" w:hAnsi="Arial" w:cs="Arial"/>
          <w:sz w:val="18"/>
          <w:szCs w:val="18"/>
        </w:rPr>
      </w:pPr>
      <w:r w:rsidRPr="002507E0">
        <w:rPr>
          <w:rFonts w:ascii="Arial" w:hAnsi="Arial" w:cs="Arial"/>
          <w:sz w:val="18"/>
          <w:szCs w:val="18"/>
        </w:rPr>
        <w:t>The consultation is expected to provide a comprehensive overview of stakeholder opinions</w:t>
      </w:r>
      <w:r w:rsidR="00BA7FBF" w:rsidRPr="002507E0">
        <w:rPr>
          <w:rFonts w:ascii="Arial" w:hAnsi="Arial" w:cs="Arial"/>
          <w:sz w:val="18"/>
          <w:szCs w:val="18"/>
        </w:rPr>
        <w:t xml:space="preserve"> </w:t>
      </w:r>
      <w:r w:rsidR="00713397" w:rsidRPr="002507E0">
        <w:rPr>
          <w:rFonts w:ascii="Arial" w:hAnsi="Arial" w:cs="Arial"/>
          <w:sz w:val="18"/>
          <w:szCs w:val="18"/>
        </w:rPr>
        <w:t xml:space="preserve">therefore, intends to reach out to a variety of </w:t>
      </w:r>
      <w:r w:rsidRPr="002507E0">
        <w:rPr>
          <w:rFonts w:ascii="Arial" w:hAnsi="Arial" w:cs="Arial"/>
          <w:sz w:val="18"/>
          <w:szCs w:val="18"/>
        </w:rPr>
        <w:t xml:space="preserve">stakeholder groups </w:t>
      </w:r>
      <w:r w:rsidR="00713397" w:rsidRPr="002507E0">
        <w:rPr>
          <w:rFonts w:ascii="Arial" w:hAnsi="Arial" w:cs="Arial"/>
          <w:sz w:val="18"/>
          <w:szCs w:val="18"/>
        </w:rPr>
        <w:t>including</w:t>
      </w:r>
      <w:r w:rsidRPr="002507E0">
        <w:rPr>
          <w:rFonts w:ascii="Arial" w:hAnsi="Arial" w:cs="Arial"/>
          <w:sz w:val="18"/>
          <w:szCs w:val="18"/>
        </w:rPr>
        <w:t xml:space="preserve"> private enterprises, </w:t>
      </w:r>
      <w:r w:rsidR="00D76119" w:rsidRPr="002507E0">
        <w:rPr>
          <w:rFonts w:ascii="Arial" w:hAnsi="Arial" w:cs="Arial"/>
          <w:sz w:val="18"/>
          <w:szCs w:val="18"/>
        </w:rPr>
        <w:t>research centres</w:t>
      </w:r>
      <w:r w:rsidR="00D97E94" w:rsidRPr="002507E0">
        <w:rPr>
          <w:rFonts w:ascii="Arial" w:hAnsi="Arial" w:cs="Arial"/>
          <w:sz w:val="18"/>
          <w:szCs w:val="18"/>
        </w:rPr>
        <w:t>, national authorities</w:t>
      </w:r>
      <w:r w:rsidR="00D76119" w:rsidRPr="002507E0">
        <w:rPr>
          <w:rFonts w:ascii="Arial" w:hAnsi="Arial" w:cs="Arial"/>
          <w:sz w:val="18"/>
          <w:szCs w:val="18"/>
        </w:rPr>
        <w:t xml:space="preserve"> and financial organisations. </w:t>
      </w:r>
    </w:p>
    <w:p w:rsidR="00D12B15" w:rsidRPr="002507E0" w:rsidRDefault="00D12B15" w:rsidP="00D12B15">
      <w:pPr>
        <w:spacing w:after="0" w:line="280" w:lineRule="atLeast"/>
        <w:jc w:val="both"/>
        <w:rPr>
          <w:rFonts w:ascii="Arial" w:hAnsi="Arial" w:cs="Arial"/>
          <w:sz w:val="18"/>
          <w:szCs w:val="18"/>
        </w:rPr>
      </w:pPr>
    </w:p>
    <w:p w:rsidR="00D97E94" w:rsidRDefault="005804C3" w:rsidP="00D12B15">
      <w:pPr>
        <w:spacing w:after="0" w:line="280" w:lineRule="atLeast"/>
        <w:jc w:val="both"/>
        <w:rPr>
          <w:rFonts w:ascii="Arial" w:hAnsi="Arial" w:cs="Arial"/>
          <w:sz w:val="18"/>
          <w:szCs w:val="18"/>
        </w:rPr>
      </w:pPr>
      <w:r w:rsidRPr="002507E0">
        <w:rPr>
          <w:rFonts w:ascii="Arial" w:hAnsi="Arial" w:cs="Arial"/>
          <w:sz w:val="18"/>
          <w:szCs w:val="18"/>
        </w:rPr>
        <w:t xml:space="preserve">It is our expectation that the stakeholder groups will be able to identify how </w:t>
      </w:r>
      <w:r w:rsidR="000976E6" w:rsidRPr="002507E0">
        <w:rPr>
          <w:rFonts w:ascii="Arial" w:hAnsi="Arial" w:cs="Arial"/>
          <w:sz w:val="18"/>
          <w:szCs w:val="18"/>
        </w:rPr>
        <w:t xml:space="preserve">initiatives in the sector are being launched, what are the main thematic areas of focus and where the gap in financing lies. </w:t>
      </w:r>
    </w:p>
    <w:p w:rsidR="00D12B15" w:rsidRPr="002507E0" w:rsidRDefault="00D12B15" w:rsidP="00D12B15">
      <w:pPr>
        <w:spacing w:after="0" w:line="280" w:lineRule="atLeast"/>
        <w:jc w:val="both"/>
        <w:rPr>
          <w:rFonts w:ascii="Arial" w:hAnsi="Arial" w:cs="Arial"/>
          <w:sz w:val="18"/>
          <w:szCs w:val="18"/>
        </w:rPr>
      </w:pPr>
    </w:p>
    <w:p w:rsidR="00D42502" w:rsidRPr="002507E0" w:rsidRDefault="00D42502" w:rsidP="002507E0">
      <w:pPr>
        <w:pStyle w:val="Heading3"/>
        <w:tabs>
          <w:tab w:val="num" w:pos="567"/>
        </w:tabs>
        <w:ind w:left="567" w:hanging="567"/>
      </w:pPr>
      <w:r w:rsidRPr="002507E0">
        <w:t>Topics of the consultation</w:t>
      </w:r>
    </w:p>
    <w:p w:rsidR="005804C3" w:rsidRDefault="00D76119" w:rsidP="00D12B15">
      <w:pPr>
        <w:spacing w:after="0" w:line="280" w:lineRule="atLeast"/>
        <w:jc w:val="both"/>
        <w:rPr>
          <w:rFonts w:ascii="Arial" w:hAnsi="Arial" w:cs="Arial"/>
          <w:sz w:val="18"/>
          <w:szCs w:val="18"/>
        </w:rPr>
      </w:pPr>
      <w:r w:rsidRPr="002507E0">
        <w:rPr>
          <w:rFonts w:ascii="Arial" w:hAnsi="Arial" w:cs="Arial"/>
          <w:sz w:val="18"/>
          <w:szCs w:val="18"/>
        </w:rPr>
        <w:t xml:space="preserve">The questionnaire </w:t>
      </w:r>
      <w:r w:rsidR="0051512B">
        <w:rPr>
          <w:rFonts w:ascii="Arial" w:hAnsi="Arial" w:cs="Arial"/>
          <w:sz w:val="18"/>
          <w:szCs w:val="18"/>
        </w:rPr>
        <w:t>is</w:t>
      </w:r>
      <w:r w:rsidRPr="002507E0">
        <w:rPr>
          <w:rFonts w:ascii="Arial" w:hAnsi="Arial" w:cs="Arial"/>
          <w:sz w:val="18"/>
          <w:szCs w:val="18"/>
        </w:rPr>
        <w:t xml:space="preserve"> designed </w:t>
      </w:r>
      <w:r w:rsidR="00001163" w:rsidRPr="002507E0">
        <w:rPr>
          <w:rFonts w:ascii="Arial" w:hAnsi="Arial" w:cs="Arial"/>
          <w:sz w:val="18"/>
          <w:szCs w:val="18"/>
        </w:rPr>
        <w:t xml:space="preserve">in </w:t>
      </w:r>
      <w:r w:rsidRPr="002507E0">
        <w:rPr>
          <w:rFonts w:ascii="Arial" w:hAnsi="Arial" w:cs="Arial"/>
          <w:sz w:val="18"/>
          <w:szCs w:val="18"/>
        </w:rPr>
        <w:t xml:space="preserve">such a way as to </w:t>
      </w:r>
      <w:r w:rsidR="00001163" w:rsidRPr="002507E0">
        <w:rPr>
          <w:rFonts w:ascii="Arial" w:hAnsi="Arial" w:cs="Arial"/>
          <w:sz w:val="18"/>
          <w:szCs w:val="18"/>
        </w:rPr>
        <w:t xml:space="preserve">address </w:t>
      </w:r>
      <w:r w:rsidR="00642F10" w:rsidRPr="002507E0">
        <w:rPr>
          <w:rFonts w:ascii="Arial" w:hAnsi="Arial" w:cs="Arial"/>
          <w:sz w:val="18"/>
          <w:szCs w:val="18"/>
        </w:rPr>
        <w:t xml:space="preserve">the challenges and issues that might be encountered by the stakeholder groups. </w:t>
      </w:r>
      <w:r w:rsidR="00555087" w:rsidRPr="002507E0">
        <w:rPr>
          <w:rFonts w:ascii="Arial" w:hAnsi="Arial" w:cs="Arial"/>
          <w:sz w:val="18"/>
          <w:szCs w:val="18"/>
        </w:rPr>
        <w:t xml:space="preserve"> </w:t>
      </w:r>
      <w:r w:rsidR="005804C3" w:rsidRPr="002507E0">
        <w:rPr>
          <w:rFonts w:ascii="Arial" w:hAnsi="Arial" w:cs="Arial"/>
          <w:sz w:val="18"/>
          <w:szCs w:val="18"/>
        </w:rPr>
        <w:t xml:space="preserve">Questions include multiple choice as well as open ended types and include space for clarifications and other comments. </w:t>
      </w:r>
    </w:p>
    <w:p w:rsidR="00D12B15" w:rsidRPr="002507E0" w:rsidRDefault="00D12B15" w:rsidP="00D12B15">
      <w:pPr>
        <w:spacing w:after="0" w:line="280" w:lineRule="atLeast"/>
        <w:jc w:val="both"/>
        <w:rPr>
          <w:rFonts w:ascii="Arial" w:hAnsi="Arial" w:cs="Arial"/>
          <w:sz w:val="18"/>
          <w:szCs w:val="18"/>
        </w:rPr>
      </w:pPr>
    </w:p>
    <w:p w:rsidR="002D5E45" w:rsidRPr="002507E0" w:rsidRDefault="002D5E45" w:rsidP="00D12B15">
      <w:pPr>
        <w:spacing w:after="0" w:line="280" w:lineRule="atLeast"/>
        <w:jc w:val="both"/>
        <w:rPr>
          <w:rFonts w:ascii="Arial" w:hAnsi="Arial" w:cs="Arial"/>
          <w:sz w:val="18"/>
          <w:szCs w:val="18"/>
        </w:rPr>
      </w:pPr>
      <w:r w:rsidRPr="002507E0">
        <w:rPr>
          <w:rFonts w:ascii="Arial" w:hAnsi="Arial" w:cs="Arial"/>
          <w:sz w:val="18"/>
          <w:szCs w:val="18"/>
        </w:rPr>
        <w:t>The questionna</w:t>
      </w:r>
      <w:r w:rsidR="00BA7FBF" w:rsidRPr="002507E0">
        <w:rPr>
          <w:rFonts w:ascii="Arial" w:hAnsi="Arial" w:cs="Arial"/>
          <w:sz w:val="18"/>
          <w:szCs w:val="18"/>
        </w:rPr>
        <w:t xml:space="preserve">ire </w:t>
      </w:r>
      <w:r w:rsidR="00AC4DBA">
        <w:rPr>
          <w:rFonts w:ascii="Arial" w:hAnsi="Arial" w:cs="Arial"/>
          <w:sz w:val="18"/>
          <w:szCs w:val="18"/>
        </w:rPr>
        <w:t>is</w:t>
      </w:r>
      <w:r w:rsidR="00BA7FBF" w:rsidRPr="002507E0">
        <w:rPr>
          <w:rFonts w:ascii="Arial" w:hAnsi="Arial" w:cs="Arial"/>
          <w:sz w:val="18"/>
          <w:szCs w:val="18"/>
        </w:rPr>
        <w:t xml:space="preserve"> divided into </w:t>
      </w:r>
      <w:r w:rsidR="00AC4DBA">
        <w:rPr>
          <w:rFonts w:ascii="Arial" w:hAnsi="Arial" w:cs="Arial"/>
          <w:sz w:val="18"/>
          <w:szCs w:val="18"/>
        </w:rPr>
        <w:t>three parts</w:t>
      </w:r>
      <w:r w:rsidRPr="002507E0">
        <w:rPr>
          <w:rFonts w:ascii="Arial" w:hAnsi="Arial" w:cs="Arial"/>
          <w:sz w:val="18"/>
          <w:szCs w:val="18"/>
        </w:rPr>
        <w:t>:</w:t>
      </w:r>
    </w:p>
    <w:p w:rsidR="00AB748B" w:rsidRPr="002507E0" w:rsidRDefault="00AC4DBA" w:rsidP="00D12B15">
      <w:pPr>
        <w:pStyle w:val="ListParagraph"/>
        <w:numPr>
          <w:ilvl w:val="0"/>
          <w:numId w:val="4"/>
        </w:numPr>
        <w:spacing w:after="0" w:line="280" w:lineRule="atLeast"/>
        <w:ind w:left="426" w:hanging="340"/>
        <w:jc w:val="both"/>
        <w:rPr>
          <w:rFonts w:ascii="Arial" w:hAnsi="Arial" w:cs="Arial"/>
          <w:sz w:val="18"/>
          <w:szCs w:val="18"/>
        </w:rPr>
      </w:pPr>
      <w:r>
        <w:rPr>
          <w:rFonts w:ascii="Arial" w:hAnsi="Arial" w:cs="Arial"/>
          <w:sz w:val="18"/>
          <w:szCs w:val="18"/>
        </w:rPr>
        <w:t>Part</w:t>
      </w:r>
      <w:r w:rsidR="00AB748B" w:rsidRPr="002507E0">
        <w:rPr>
          <w:rFonts w:ascii="Arial" w:hAnsi="Arial" w:cs="Arial"/>
          <w:sz w:val="18"/>
          <w:szCs w:val="18"/>
        </w:rPr>
        <w:t xml:space="preserve"> A delivers information on the contact details and some basic characteristics of the respondents;</w:t>
      </w:r>
    </w:p>
    <w:p w:rsidR="00AB748B" w:rsidRPr="002507E0" w:rsidRDefault="00AC4DBA" w:rsidP="00D12B15">
      <w:pPr>
        <w:pStyle w:val="ListParagraph"/>
        <w:numPr>
          <w:ilvl w:val="0"/>
          <w:numId w:val="4"/>
        </w:numPr>
        <w:spacing w:after="0" w:line="280" w:lineRule="atLeast"/>
        <w:ind w:left="426" w:hanging="340"/>
        <w:jc w:val="both"/>
        <w:rPr>
          <w:rFonts w:ascii="Arial" w:hAnsi="Arial" w:cs="Arial"/>
          <w:sz w:val="18"/>
          <w:szCs w:val="18"/>
        </w:rPr>
      </w:pPr>
      <w:r>
        <w:rPr>
          <w:rFonts w:ascii="Arial" w:hAnsi="Arial" w:cs="Arial"/>
          <w:sz w:val="18"/>
          <w:szCs w:val="18"/>
        </w:rPr>
        <w:t>Part</w:t>
      </w:r>
      <w:r w:rsidR="00AB748B" w:rsidRPr="002507E0">
        <w:rPr>
          <w:rFonts w:ascii="Arial" w:hAnsi="Arial" w:cs="Arial"/>
          <w:sz w:val="18"/>
          <w:szCs w:val="18"/>
        </w:rPr>
        <w:t xml:space="preserve"> B requests information on the stakeholders</w:t>
      </w:r>
      <w:r w:rsidR="000C32FC" w:rsidRPr="002507E0">
        <w:rPr>
          <w:rFonts w:ascii="Arial" w:hAnsi="Arial" w:cs="Arial"/>
          <w:sz w:val="18"/>
          <w:szCs w:val="18"/>
        </w:rPr>
        <w:t xml:space="preserve"> level of involvement within the sector</w:t>
      </w:r>
      <w:r>
        <w:rPr>
          <w:rFonts w:ascii="Arial" w:hAnsi="Arial" w:cs="Arial"/>
          <w:sz w:val="18"/>
          <w:szCs w:val="18"/>
        </w:rPr>
        <w:t xml:space="preserve"> and the challenges encountered</w:t>
      </w:r>
      <w:r w:rsidR="00AB748B" w:rsidRPr="002507E0">
        <w:rPr>
          <w:rFonts w:ascii="Arial" w:hAnsi="Arial" w:cs="Arial"/>
          <w:sz w:val="18"/>
          <w:szCs w:val="18"/>
        </w:rPr>
        <w:t xml:space="preserve">; </w:t>
      </w:r>
    </w:p>
    <w:p w:rsidR="00D7675C" w:rsidRPr="00AC4DBA" w:rsidRDefault="00AC4DBA" w:rsidP="00AC4DBA">
      <w:pPr>
        <w:pStyle w:val="ListParagraph"/>
        <w:numPr>
          <w:ilvl w:val="0"/>
          <w:numId w:val="4"/>
        </w:numPr>
        <w:spacing w:after="0" w:line="280" w:lineRule="atLeast"/>
        <w:ind w:left="426" w:hanging="340"/>
        <w:jc w:val="both"/>
        <w:rPr>
          <w:rFonts w:ascii="Arial" w:hAnsi="Arial" w:cs="Arial"/>
          <w:sz w:val="18"/>
          <w:szCs w:val="18"/>
        </w:rPr>
      </w:pPr>
      <w:r>
        <w:rPr>
          <w:rFonts w:ascii="Arial" w:hAnsi="Arial" w:cs="Arial"/>
          <w:sz w:val="18"/>
          <w:szCs w:val="18"/>
        </w:rPr>
        <w:t>Part</w:t>
      </w:r>
      <w:r w:rsidR="00AB748B" w:rsidRPr="002507E0">
        <w:rPr>
          <w:rFonts w:ascii="Arial" w:hAnsi="Arial" w:cs="Arial"/>
          <w:sz w:val="18"/>
          <w:szCs w:val="18"/>
        </w:rPr>
        <w:t xml:space="preserve"> C requests </w:t>
      </w:r>
      <w:r>
        <w:rPr>
          <w:rFonts w:ascii="Arial" w:hAnsi="Arial" w:cs="Arial"/>
          <w:sz w:val="18"/>
          <w:szCs w:val="18"/>
        </w:rPr>
        <w:t xml:space="preserve">further </w:t>
      </w:r>
      <w:r w:rsidR="00AB748B" w:rsidRPr="002507E0">
        <w:rPr>
          <w:rFonts w:ascii="Arial" w:hAnsi="Arial" w:cs="Arial"/>
          <w:sz w:val="18"/>
          <w:szCs w:val="18"/>
        </w:rPr>
        <w:t xml:space="preserve">information </w:t>
      </w:r>
      <w:r>
        <w:rPr>
          <w:rFonts w:ascii="Arial" w:hAnsi="Arial" w:cs="Arial"/>
          <w:sz w:val="18"/>
          <w:szCs w:val="18"/>
        </w:rPr>
        <w:t>specifically on deep sea mining</w:t>
      </w:r>
      <w:r w:rsidR="00B1238B" w:rsidRPr="002507E0">
        <w:rPr>
          <w:rFonts w:ascii="Arial" w:hAnsi="Arial" w:cs="Arial"/>
          <w:sz w:val="18"/>
          <w:szCs w:val="18"/>
        </w:rPr>
        <w:t xml:space="preserve">; </w:t>
      </w:r>
    </w:p>
    <w:sectPr w:rsidR="00D7675C" w:rsidRPr="00AC4D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E0" w:rsidRDefault="002507E0" w:rsidP="00F73CA5">
      <w:pPr>
        <w:spacing w:after="0" w:line="240" w:lineRule="auto"/>
      </w:pPr>
      <w:r>
        <w:separator/>
      </w:r>
    </w:p>
  </w:endnote>
  <w:endnote w:type="continuationSeparator" w:id="0">
    <w:p w:rsidR="002507E0" w:rsidRDefault="002507E0" w:rsidP="00F7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E0" w:rsidRDefault="002507E0" w:rsidP="00F73CA5">
      <w:pPr>
        <w:spacing w:after="0" w:line="240" w:lineRule="auto"/>
      </w:pPr>
      <w:r>
        <w:separator/>
      </w:r>
    </w:p>
  </w:footnote>
  <w:footnote w:type="continuationSeparator" w:id="0">
    <w:p w:rsidR="002507E0" w:rsidRDefault="002507E0" w:rsidP="00F73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18FA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D35D2B"/>
    <w:multiLevelType w:val="hybridMultilevel"/>
    <w:tmpl w:val="E3783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A1911"/>
    <w:multiLevelType w:val="hybridMultilevel"/>
    <w:tmpl w:val="8E66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797AE8"/>
    <w:multiLevelType w:val="hybridMultilevel"/>
    <w:tmpl w:val="0C64A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2D7ADE"/>
    <w:multiLevelType w:val="hybridMultilevel"/>
    <w:tmpl w:val="D8ACB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C9C4726"/>
    <w:multiLevelType w:val="hybridMultilevel"/>
    <w:tmpl w:val="6120A3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pdated" w:val="false"/>
  </w:docVars>
  <w:rsids>
    <w:rsidRoot w:val="00475DE2"/>
    <w:rsid w:val="00001163"/>
    <w:rsid w:val="00006E0D"/>
    <w:rsid w:val="00083B77"/>
    <w:rsid w:val="000976E6"/>
    <w:rsid w:val="000C32FC"/>
    <w:rsid w:val="001A02A9"/>
    <w:rsid w:val="001C2609"/>
    <w:rsid w:val="00202F97"/>
    <w:rsid w:val="00221957"/>
    <w:rsid w:val="00224EDC"/>
    <w:rsid w:val="002507E0"/>
    <w:rsid w:val="0025631A"/>
    <w:rsid w:val="00280A20"/>
    <w:rsid w:val="00296CFA"/>
    <w:rsid w:val="002B71A1"/>
    <w:rsid w:val="002D5E45"/>
    <w:rsid w:val="00317820"/>
    <w:rsid w:val="003D7883"/>
    <w:rsid w:val="00466388"/>
    <w:rsid w:val="00475DE2"/>
    <w:rsid w:val="0051512B"/>
    <w:rsid w:val="00534002"/>
    <w:rsid w:val="005513EE"/>
    <w:rsid w:val="00555087"/>
    <w:rsid w:val="005804C3"/>
    <w:rsid w:val="005B3981"/>
    <w:rsid w:val="005B6077"/>
    <w:rsid w:val="005E08BC"/>
    <w:rsid w:val="00637188"/>
    <w:rsid w:val="00642F10"/>
    <w:rsid w:val="006727E0"/>
    <w:rsid w:val="006C6011"/>
    <w:rsid w:val="006F12EE"/>
    <w:rsid w:val="00713397"/>
    <w:rsid w:val="0074545B"/>
    <w:rsid w:val="00830504"/>
    <w:rsid w:val="00844921"/>
    <w:rsid w:val="008B2A67"/>
    <w:rsid w:val="008E37CE"/>
    <w:rsid w:val="009871DA"/>
    <w:rsid w:val="00A6486F"/>
    <w:rsid w:val="00A65AB3"/>
    <w:rsid w:val="00A93DEE"/>
    <w:rsid w:val="00AB748B"/>
    <w:rsid w:val="00AC4DBA"/>
    <w:rsid w:val="00AE1A57"/>
    <w:rsid w:val="00B1238B"/>
    <w:rsid w:val="00B519D0"/>
    <w:rsid w:val="00B60F44"/>
    <w:rsid w:val="00BA4192"/>
    <w:rsid w:val="00BA7FBF"/>
    <w:rsid w:val="00BB2D91"/>
    <w:rsid w:val="00BC2EA7"/>
    <w:rsid w:val="00BC3A66"/>
    <w:rsid w:val="00BE01DD"/>
    <w:rsid w:val="00C261E5"/>
    <w:rsid w:val="00C3716B"/>
    <w:rsid w:val="00C63050"/>
    <w:rsid w:val="00CF6C8A"/>
    <w:rsid w:val="00D12B15"/>
    <w:rsid w:val="00D42502"/>
    <w:rsid w:val="00D75CE8"/>
    <w:rsid w:val="00D76119"/>
    <w:rsid w:val="00D7675C"/>
    <w:rsid w:val="00D97E94"/>
    <w:rsid w:val="00DB2F8B"/>
    <w:rsid w:val="00EA23A3"/>
    <w:rsid w:val="00F27937"/>
    <w:rsid w:val="00F36A84"/>
    <w:rsid w:val="00F73CA5"/>
    <w:rsid w:val="00FC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5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C55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507E0"/>
    <w:pPr>
      <w:keepNext/>
      <w:keepLines/>
      <w:tabs>
        <w:tab w:val="left" w:pos="0"/>
      </w:tabs>
      <w:spacing w:after="0" w:line="280" w:lineRule="atLeast"/>
      <w:outlineLvl w:val="2"/>
    </w:pPr>
    <w:rPr>
      <w:rFonts w:ascii="Arial" w:eastAsia="Times New Roman" w:hAnsi="Arial" w:cs="Arial"/>
      <w:bCs/>
      <w:i/>
      <w:color w:val="006DB6"/>
      <w:sz w:val="20"/>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3C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CA5"/>
    <w:rPr>
      <w:sz w:val="20"/>
      <w:szCs w:val="20"/>
    </w:rPr>
  </w:style>
  <w:style w:type="character" w:styleId="FootnoteReference">
    <w:name w:val="footnote reference"/>
    <w:basedOn w:val="DefaultParagraphFont"/>
    <w:uiPriority w:val="99"/>
    <w:semiHidden/>
    <w:unhideWhenUsed/>
    <w:rsid w:val="00F73CA5"/>
    <w:rPr>
      <w:vertAlign w:val="superscript"/>
    </w:rPr>
  </w:style>
  <w:style w:type="character" w:styleId="Hyperlink">
    <w:name w:val="Hyperlink"/>
    <w:basedOn w:val="DefaultParagraphFont"/>
    <w:uiPriority w:val="99"/>
    <w:unhideWhenUsed/>
    <w:rsid w:val="00F73CA5"/>
    <w:rPr>
      <w:color w:val="0000FF" w:themeColor="hyperlink"/>
      <w:u w:val="single"/>
    </w:rPr>
  </w:style>
  <w:style w:type="character" w:customStyle="1" w:styleId="Heading1Char">
    <w:name w:val="Heading 1 Char"/>
    <w:basedOn w:val="DefaultParagraphFont"/>
    <w:link w:val="Heading1"/>
    <w:rsid w:val="00FC55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C553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2F10"/>
    <w:pPr>
      <w:ind w:left="720"/>
      <w:contextualSpacing/>
    </w:pPr>
  </w:style>
  <w:style w:type="table" w:styleId="TableGrid">
    <w:name w:val="Table Grid"/>
    <w:basedOn w:val="TableNormal"/>
    <w:uiPriority w:val="59"/>
    <w:rsid w:val="00555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97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D5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A7FBF"/>
    <w:pPr>
      <w:numPr>
        <w:numId w:val="5"/>
      </w:numPr>
      <w:contextualSpacing/>
    </w:pPr>
  </w:style>
  <w:style w:type="character" w:styleId="CommentReference">
    <w:name w:val="annotation reference"/>
    <w:basedOn w:val="DefaultParagraphFont"/>
    <w:uiPriority w:val="99"/>
    <w:semiHidden/>
    <w:unhideWhenUsed/>
    <w:rsid w:val="00280A20"/>
    <w:rPr>
      <w:sz w:val="16"/>
      <w:szCs w:val="16"/>
    </w:rPr>
  </w:style>
  <w:style w:type="paragraph" w:styleId="CommentText">
    <w:name w:val="annotation text"/>
    <w:basedOn w:val="Normal"/>
    <w:link w:val="CommentTextChar"/>
    <w:uiPriority w:val="99"/>
    <w:semiHidden/>
    <w:unhideWhenUsed/>
    <w:rsid w:val="00280A20"/>
    <w:pPr>
      <w:spacing w:line="240" w:lineRule="auto"/>
    </w:pPr>
    <w:rPr>
      <w:sz w:val="20"/>
      <w:szCs w:val="20"/>
    </w:rPr>
  </w:style>
  <w:style w:type="character" w:customStyle="1" w:styleId="CommentTextChar">
    <w:name w:val="Comment Text Char"/>
    <w:basedOn w:val="DefaultParagraphFont"/>
    <w:link w:val="CommentText"/>
    <w:uiPriority w:val="99"/>
    <w:semiHidden/>
    <w:rsid w:val="00280A20"/>
    <w:rPr>
      <w:sz w:val="20"/>
      <w:szCs w:val="20"/>
    </w:rPr>
  </w:style>
  <w:style w:type="paragraph" w:styleId="BalloonText">
    <w:name w:val="Balloon Text"/>
    <w:basedOn w:val="Normal"/>
    <w:link w:val="BalloonTextChar"/>
    <w:uiPriority w:val="99"/>
    <w:semiHidden/>
    <w:unhideWhenUsed/>
    <w:rsid w:val="0028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20"/>
    <w:rPr>
      <w:rFonts w:ascii="Tahoma" w:hAnsi="Tahoma" w:cs="Tahoma"/>
      <w:sz w:val="16"/>
      <w:szCs w:val="16"/>
    </w:rPr>
  </w:style>
  <w:style w:type="character" w:customStyle="1" w:styleId="Heading3Char">
    <w:name w:val="Heading 3 Char"/>
    <w:basedOn w:val="DefaultParagraphFont"/>
    <w:link w:val="Heading3"/>
    <w:rsid w:val="002507E0"/>
    <w:rPr>
      <w:rFonts w:ascii="Arial" w:eastAsia="Times New Roman" w:hAnsi="Arial" w:cs="Arial"/>
      <w:bCs/>
      <w:i/>
      <w:color w:val="006DB6"/>
      <w:sz w:val="20"/>
      <w:szCs w:val="2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5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C55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507E0"/>
    <w:pPr>
      <w:keepNext/>
      <w:keepLines/>
      <w:tabs>
        <w:tab w:val="left" w:pos="0"/>
      </w:tabs>
      <w:spacing w:after="0" w:line="280" w:lineRule="atLeast"/>
      <w:outlineLvl w:val="2"/>
    </w:pPr>
    <w:rPr>
      <w:rFonts w:ascii="Arial" w:eastAsia="Times New Roman" w:hAnsi="Arial" w:cs="Arial"/>
      <w:bCs/>
      <w:i/>
      <w:color w:val="006DB6"/>
      <w:sz w:val="20"/>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3C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CA5"/>
    <w:rPr>
      <w:sz w:val="20"/>
      <w:szCs w:val="20"/>
    </w:rPr>
  </w:style>
  <w:style w:type="character" w:styleId="FootnoteReference">
    <w:name w:val="footnote reference"/>
    <w:basedOn w:val="DefaultParagraphFont"/>
    <w:uiPriority w:val="99"/>
    <w:semiHidden/>
    <w:unhideWhenUsed/>
    <w:rsid w:val="00F73CA5"/>
    <w:rPr>
      <w:vertAlign w:val="superscript"/>
    </w:rPr>
  </w:style>
  <w:style w:type="character" w:styleId="Hyperlink">
    <w:name w:val="Hyperlink"/>
    <w:basedOn w:val="DefaultParagraphFont"/>
    <w:uiPriority w:val="99"/>
    <w:unhideWhenUsed/>
    <w:rsid w:val="00F73CA5"/>
    <w:rPr>
      <w:color w:val="0000FF" w:themeColor="hyperlink"/>
      <w:u w:val="single"/>
    </w:rPr>
  </w:style>
  <w:style w:type="character" w:customStyle="1" w:styleId="Heading1Char">
    <w:name w:val="Heading 1 Char"/>
    <w:basedOn w:val="DefaultParagraphFont"/>
    <w:link w:val="Heading1"/>
    <w:rsid w:val="00FC55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C553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2F10"/>
    <w:pPr>
      <w:ind w:left="720"/>
      <w:contextualSpacing/>
    </w:pPr>
  </w:style>
  <w:style w:type="table" w:styleId="TableGrid">
    <w:name w:val="Table Grid"/>
    <w:basedOn w:val="TableNormal"/>
    <w:uiPriority w:val="59"/>
    <w:rsid w:val="00555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97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D5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A7FBF"/>
    <w:pPr>
      <w:numPr>
        <w:numId w:val="5"/>
      </w:numPr>
      <w:contextualSpacing/>
    </w:pPr>
  </w:style>
  <w:style w:type="character" w:styleId="CommentReference">
    <w:name w:val="annotation reference"/>
    <w:basedOn w:val="DefaultParagraphFont"/>
    <w:uiPriority w:val="99"/>
    <w:semiHidden/>
    <w:unhideWhenUsed/>
    <w:rsid w:val="00280A20"/>
    <w:rPr>
      <w:sz w:val="16"/>
      <w:szCs w:val="16"/>
    </w:rPr>
  </w:style>
  <w:style w:type="paragraph" w:styleId="CommentText">
    <w:name w:val="annotation text"/>
    <w:basedOn w:val="Normal"/>
    <w:link w:val="CommentTextChar"/>
    <w:uiPriority w:val="99"/>
    <w:semiHidden/>
    <w:unhideWhenUsed/>
    <w:rsid w:val="00280A20"/>
    <w:pPr>
      <w:spacing w:line="240" w:lineRule="auto"/>
    </w:pPr>
    <w:rPr>
      <w:sz w:val="20"/>
      <w:szCs w:val="20"/>
    </w:rPr>
  </w:style>
  <w:style w:type="character" w:customStyle="1" w:styleId="CommentTextChar">
    <w:name w:val="Comment Text Char"/>
    <w:basedOn w:val="DefaultParagraphFont"/>
    <w:link w:val="CommentText"/>
    <w:uiPriority w:val="99"/>
    <w:semiHidden/>
    <w:rsid w:val="00280A20"/>
    <w:rPr>
      <w:sz w:val="20"/>
      <w:szCs w:val="20"/>
    </w:rPr>
  </w:style>
  <w:style w:type="paragraph" w:styleId="BalloonText">
    <w:name w:val="Balloon Text"/>
    <w:basedOn w:val="Normal"/>
    <w:link w:val="BalloonTextChar"/>
    <w:uiPriority w:val="99"/>
    <w:semiHidden/>
    <w:unhideWhenUsed/>
    <w:rsid w:val="0028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20"/>
    <w:rPr>
      <w:rFonts w:ascii="Tahoma" w:hAnsi="Tahoma" w:cs="Tahoma"/>
      <w:sz w:val="16"/>
      <w:szCs w:val="16"/>
    </w:rPr>
  </w:style>
  <w:style w:type="character" w:customStyle="1" w:styleId="Heading3Char">
    <w:name w:val="Heading 3 Char"/>
    <w:basedOn w:val="DefaultParagraphFont"/>
    <w:link w:val="Heading3"/>
    <w:rsid w:val="002507E0"/>
    <w:rPr>
      <w:rFonts w:ascii="Arial" w:eastAsia="Times New Roman" w:hAnsi="Arial" w:cs="Arial"/>
      <w:bCs/>
      <w:i/>
      <w:color w:val="006DB6"/>
      <w:sz w:val="20"/>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3E70-E1A3-42D8-8485-AB0AF899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762</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Ecorys UK</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 Kantor</dc:creator>
  <cp:lastModifiedBy>Roelof-Jan Molemaker</cp:lastModifiedBy>
  <cp:revision>4</cp:revision>
  <dcterms:created xsi:type="dcterms:W3CDTF">2014-01-17T12:45:00Z</dcterms:created>
  <dcterms:modified xsi:type="dcterms:W3CDTF">2014-01-17T16:55:00Z</dcterms:modified>
</cp:coreProperties>
</file>