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29" w:rsidRPr="00661029" w:rsidRDefault="004A340D" w:rsidP="00661029">
      <w:pPr>
        <w:shd w:val="clear" w:color="auto" w:fill="FFFFFF"/>
        <w:spacing w:after="150" w:line="240" w:lineRule="auto"/>
        <w:outlineLvl w:val="1"/>
        <w:rPr>
          <w:rFonts w:ascii="Verdana" w:eastAsia="Times New Roman" w:hAnsi="Verdana" w:cs="Arial"/>
          <w:b/>
          <w:bCs/>
          <w:color w:val="164591"/>
          <w:kern w:val="36"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color w:val="164591"/>
          <w:kern w:val="36"/>
          <w:sz w:val="32"/>
        </w:rPr>
        <w:t xml:space="preserve">Интегрираната морска политика на ЕС </w:t>
      </w:r>
    </w:p>
    <w:p w:rsidR="008E274D" w:rsidRPr="00661029" w:rsidRDefault="008E274D" w:rsidP="008E274D">
      <w:pPr>
        <w:shd w:val="clear" w:color="auto" w:fill="FFFFFF"/>
        <w:spacing w:after="150" w:line="240" w:lineRule="auto"/>
        <w:outlineLvl w:val="1"/>
        <w:rPr>
          <w:rFonts w:ascii="Verdana" w:eastAsia="Times New Roman" w:hAnsi="Verdana" w:cs="Arial"/>
          <w:b/>
          <w:bCs/>
          <w:color w:val="164591"/>
          <w:kern w:val="36"/>
          <w:sz w:val="32"/>
          <w:szCs w:val="32"/>
        </w:rPr>
      </w:pPr>
    </w:p>
    <w:p w:rsidR="008E274D" w:rsidRPr="008E274D" w:rsidRDefault="008E274D" w:rsidP="008E274D">
      <w:pPr>
        <w:shd w:val="clear" w:color="auto" w:fill="FFFFFF"/>
        <w:spacing w:before="300" w:after="0" w:line="240" w:lineRule="auto"/>
        <w:outlineLvl w:val="2"/>
        <w:rPr>
          <w:rFonts w:ascii="Verdana" w:eastAsia="Times New Roman" w:hAnsi="Verdana" w:cs="Arial"/>
          <w:b/>
          <w:bCs/>
          <w:color w:val="2969B5"/>
          <w:sz w:val="21"/>
          <w:szCs w:val="21"/>
        </w:rPr>
      </w:pPr>
      <w:bookmarkStart w:id="1" w:name="Definition_and_scope"/>
      <w:bookmarkEnd w:id="1"/>
      <w:r>
        <w:rPr>
          <w:rFonts w:ascii="Verdana" w:hAnsi="Verdana"/>
          <w:b/>
          <w:color w:val="2969B5"/>
          <w:sz w:val="21"/>
        </w:rPr>
        <w:t>Определение и обхват</w:t>
      </w:r>
      <w:r>
        <w:rPr>
          <w:rFonts w:ascii="Verdana" w:hAnsi="Verdana"/>
          <w:b/>
          <w:color w:val="139AC5"/>
          <w:sz w:val="21"/>
        </w:rPr>
        <w:t xml:space="preserve"> </w:t>
      </w:r>
    </w:p>
    <w:p w:rsidR="008E274D" w:rsidRPr="00A2238F" w:rsidRDefault="008E274D" w:rsidP="00A2238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Интегрираната морска политика (ИМП) цели да осигури по-последователен подход към морските въпроси с по-добра координация между различните области на политиката. Тя поставя акцент върху:</w:t>
      </w:r>
    </w:p>
    <w:p w:rsidR="008E274D" w:rsidRPr="00A2238F" w:rsidRDefault="008E274D" w:rsidP="00A2238F">
      <w:pPr>
        <w:numPr>
          <w:ilvl w:val="0"/>
          <w:numId w:val="1"/>
        </w:numPr>
        <w:tabs>
          <w:tab w:val="clear" w:pos="2520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въпроси, които не могат да бъдат обхванати от една единствена секторна политика, например „син растеж“ (т.е. икономически растеж, който зависи от различни сектори на морското дело), </w:t>
      </w:r>
    </w:p>
    <w:p w:rsidR="00661029" w:rsidRDefault="008E274D" w:rsidP="00661029">
      <w:pPr>
        <w:numPr>
          <w:ilvl w:val="0"/>
          <w:numId w:val="1"/>
        </w:numPr>
        <w:tabs>
          <w:tab w:val="clear" w:pos="2520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въпроси, изискващи координирането на различни сектори и действащи лица, например в областта на споделянето на познания за морската среда. </w:t>
      </w:r>
    </w:p>
    <w:p w:rsidR="00C76CEB" w:rsidRPr="00661029" w:rsidRDefault="00C76CEB" w:rsidP="00C76CEB">
      <w:pPr>
        <w:shd w:val="clear" w:color="auto" w:fill="FFFFFF"/>
        <w:spacing w:before="300" w:after="0" w:line="240" w:lineRule="auto"/>
        <w:outlineLvl w:val="2"/>
        <w:rPr>
          <w:rFonts w:ascii="Verdana" w:eastAsia="Times New Roman" w:hAnsi="Verdana" w:cs="Arial"/>
          <w:b/>
          <w:bCs/>
          <w:color w:val="2969B5"/>
          <w:sz w:val="21"/>
          <w:szCs w:val="21"/>
        </w:rPr>
      </w:pPr>
      <w:r>
        <w:rPr>
          <w:rFonts w:ascii="Verdana" w:hAnsi="Verdana"/>
          <w:b/>
          <w:color w:val="2969B5"/>
          <w:sz w:val="21"/>
        </w:rPr>
        <w:t xml:space="preserve">Защо ни е необходима ИМП? </w:t>
      </w:r>
    </w:p>
    <w:p w:rsidR="00C76CEB" w:rsidRPr="00C76CEB" w:rsidRDefault="00C76CEB" w:rsidP="00C76CEB">
      <w:pPr>
        <w:numPr>
          <w:ilvl w:val="0"/>
          <w:numId w:val="1"/>
        </w:numPr>
        <w:tabs>
          <w:tab w:val="clear" w:pos="2520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ИМП отчита взаимосвързаността на стопанските и човешките дейности, свързани с морето. Независимо дали става дума за морски транспорт и пристанища, вятърна енергия, морски изследвания, рибарство или туризъм, всяко решение в една от тези области може да засегне останалите. Например ветроенергийният парк в морето може да предизвика нарушения в морския транспорт, които на свой ред да засегнат работата на пристанищата.</w:t>
      </w:r>
    </w:p>
    <w:p w:rsidR="00C76CEB" w:rsidRPr="00C76CEB" w:rsidRDefault="00C76CEB" w:rsidP="00C76CEB">
      <w:pPr>
        <w:numPr>
          <w:ilvl w:val="0"/>
          <w:numId w:val="1"/>
        </w:numPr>
        <w:tabs>
          <w:tab w:val="clear" w:pos="2520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ИМП ни спестява средства и време, като насърчава администрациите да обменят данни за различни области на политиката и да си сътрудничат, вместо да работят поотделно върху различни аспекти на един и същ проблем. </w:t>
      </w:r>
    </w:p>
    <w:p w:rsidR="00661029" w:rsidRPr="00661029" w:rsidRDefault="00C76CEB" w:rsidP="00661029">
      <w:pPr>
        <w:numPr>
          <w:ilvl w:val="0"/>
          <w:numId w:val="1"/>
        </w:numPr>
        <w:tabs>
          <w:tab w:val="clear" w:pos="2520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ИМП изгражда тясно сътрудничество между отговорните лица в различните сектори на всички управленски равнища — </w:t>
      </w:r>
      <w:hyperlink r:id="rId6" w:tooltip="национални морски администрации">
        <w:r>
          <w:rPr>
            <w:rFonts w:ascii="Times New Roman" w:hAnsi="Times New Roman"/>
            <w:sz w:val="24"/>
          </w:rPr>
          <w:t>национални морски органи</w:t>
        </w:r>
      </w:hyperlink>
      <w:r>
        <w:rPr>
          <w:rFonts w:ascii="Times New Roman" w:hAnsi="Times New Roman"/>
          <w:sz w:val="24"/>
        </w:rPr>
        <w:t xml:space="preserve">, регионални, местни и международни органи във и извън Европа. Много страни признават тази необходимост и се стремят към по-структурирано и систематично сътрудничество. </w:t>
      </w:r>
    </w:p>
    <w:p w:rsidR="00C76CEB" w:rsidRPr="00C400C7" w:rsidRDefault="00C76CEB" w:rsidP="00C76CEB">
      <w:pPr>
        <w:shd w:val="clear" w:color="auto" w:fill="FFFFFF"/>
        <w:spacing w:before="300" w:after="0" w:line="240" w:lineRule="auto"/>
        <w:outlineLvl w:val="2"/>
        <w:rPr>
          <w:rFonts w:ascii="Verdana" w:eastAsia="Times New Roman" w:hAnsi="Verdana" w:cs="Arial"/>
          <w:b/>
          <w:bCs/>
          <w:color w:val="2969B5"/>
          <w:sz w:val="21"/>
          <w:szCs w:val="21"/>
        </w:rPr>
      </w:pPr>
      <w:r>
        <w:rPr>
          <w:rFonts w:ascii="Verdana" w:hAnsi="Verdana"/>
          <w:b/>
          <w:color w:val="2969B5"/>
          <w:sz w:val="21"/>
        </w:rPr>
        <w:t xml:space="preserve">Програма за морския сектор и морското корабоплаване — Декларация от Лимасол </w:t>
      </w:r>
    </w:p>
    <w:p w:rsidR="00C76CEB" w:rsidRDefault="00C76CEB" w:rsidP="00C76CE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043D">
        <w:rPr>
          <w:rFonts w:ascii="Times New Roman" w:hAnsi="Times New Roman"/>
          <w:sz w:val="24"/>
        </w:rPr>
        <w:t>На 8 октомври 2012 г.  министрите от ЕС, отговарящи за морската политика, и Европейската комисия, представлявана от своя председател Жозе Мануел Барозу и комисаря по въпросите на рибарството и морското дело Мария Даманаки, приеха</w:t>
      </w:r>
      <w:r>
        <w:rPr>
          <w:rFonts w:ascii="Times New Roman" w:hAnsi="Times New Roman"/>
          <w:sz w:val="24"/>
        </w:rPr>
        <w:t xml:space="preserve"> </w:t>
      </w:r>
      <w:hyperlink r:id="rId7" w:tooltip="Европейска програма за растеж и заетост в морския сектор и морското корабоплаване">
        <w:r>
          <w:rPr>
            <w:rFonts w:ascii="Times New Roman" w:hAnsi="Times New Roman"/>
            <w:i/>
            <w:sz w:val="24"/>
          </w:rPr>
          <w:t>Европейска програма за растеж и заетост в морския сектор и морското корабоплаване</w:t>
        </w:r>
      </w:hyperlink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. Пет години след като бе положено началото на интегрираната морска политика на ЕС, държавите членки и Комисията отново потвърдиха, че динамичният и координиран подход към морското дело се отразява положително върху развитието на „синята икономика“ на ЕС, като същевременно се гарантира доброто състояние на моретата и океаните.</w:t>
      </w:r>
    </w:p>
    <w:p w:rsidR="00BE106E" w:rsidRDefault="00BE106E" w:rsidP="00BE10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ИМП има за цел да координира, а не да замести</w:t>
      </w:r>
      <w:r>
        <w:t xml:space="preserve"> </w:t>
      </w:r>
      <w:hyperlink r:id="rId8" w:tooltip="политики в конкретни сектори на морското дело">
        <w:r>
          <w:rPr>
            <w:rFonts w:ascii="Times New Roman" w:hAnsi="Times New Roman"/>
            <w:sz w:val="24"/>
          </w:rPr>
          <w:t>политиките в конкретни сектори на морското дело</w:t>
        </w:r>
      </w:hyperlink>
      <w:r>
        <w:rPr>
          <w:rFonts w:ascii="Times New Roman" w:hAnsi="Times New Roman"/>
          <w:sz w:val="24"/>
        </w:rPr>
        <w:t>. По-конкретно тя обхваща следните междусекторни политики:</w:t>
      </w:r>
    </w:p>
    <w:p w:rsidR="00BE106E" w:rsidRPr="00A2238F" w:rsidRDefault="0081271F" w:rsidP="00BE106E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i/>
          <w:sz w:val="24"/>
          <w:szCs w:val="24"/>
        </w:rPr>
      </w:pPr>
      <w:hyperlink r:id="rId9">
        <w:r w:rsidR="00BE106E">
          <w:rPr>
            <w:rFonts w:ascii="Times New Roman" w:hAnsi="Times New Roman"/>
            <w:i/>
            <w:sz w:val="24"/>
          </w:rPr>
          <w:t>„Син растеж“</w:t>
        </w:r>
      </w:hyperlink>
      <w:r w:rsidR="00BE106E">
        <w:rPr>
          <w:rFonts w:ascii="Times New Roman" w:hAnsi="Times New Roman"/>
          <w:i/>
          <w:sz w:val="24"/>
        </w:rPr>
        <w:t xml:space="preserve"> </w:t>
      </w:r>
    </w:p>
    <w:p w:rsidR="00BE106E" w:rsidRPr="00A2238F" w:rsidRDefault="0081271F" w:rsidP="00BE106E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i/>
          <w:sz w:val="24"/>
          <w:szCs w:val="24"/>
        </w:rPr>
      </w:pPr>
      <w:hyperlink r:id="rId10" w:tooltip="Данни и знания за морската среда">
        <w:r w:rsidR="00BE106E">
          <w:rPr>
            <w:rFonts w:ascii="Times New Roman" w:hAnsi="Times New Roman"/>
            <w:i/>
            <w:sz w:val="24"/>
          </w:rPr>
          <w:t>Данни и знания за морската среда</w:t>
        </w:r>
      </w:hyperlink>
      <w:r w:rsidR="00BE106E">
        <w:rPr>
          <w:rFonts w:ascii="Times New Roman" w:hAnsi="Times New Roman"/>
          <w:i/>
          <w:sz w:val="24"/>
        </w:rPr>
        <w:t xml:space="preserve"> </w:t>
      </w:r>
    </w:p>
    <w:p w:rsidR="00BE106E" w:rsidRPr="00A2238F" w:rsidRDefault="0081271F" w:rsidP="00BE106E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i/>
          <w:sz w:val="24"/>
          <w:szCs w:val="24"/>
        </w:rPr>
      </w:pPr>
      <w:hyperlink r:id="rId11" w:tooltip="Морско пространствено планиране">
        <w:r w:rsidR="00BE106E">
          <w:rPr>
            <w:rFonts w:ascii="Times New Roman" w:hAnsi="Times New Roman"/>
            <w:i/>
            <w:sz w:val="24"/>
          </w:rPr>
          <w:t>Морско пространствено планиране</w:t>
        </w:r>
      </w:hyperlink>
      <w:r w:rsidR="00BE106E">
        <w:rPr>
          <w:rFonts w:ascii="Times New Roman" w:hAnsi="Times New Roman"/>
          <w:i/>
          <w:sz w:val="24"/>
        </w:rPr>
        <w:t xml:space="preserve"> </w:t>
      </w:r>
    </w:p>
    <w:p w:rsidR="00BE106E" w:rsidRPr="00661029" w:rsidRDefault="0081271F" w:rsidP="00BE106E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i/>
          <w:sz w:val="24"/>
          <w:szCs w:val="24"/>
        </w:rPr>
      </w:pPr>
      <w:hyperlink r:id="rId12" w:tooltip="Интегрирано морско наблюдение">
        <w:r w:rsidR="00BE106E">
          <w:rPr>
            <w:rFonts w:ascii="Times New Roman" w:hAnsi="Times New Roman"/>
            <w:i/>
            <w:sz w:val="24"/>
          </w:rPr>
          <w:t>Интегрирано морско наблюдение</w:t>
        </w:r>
      </w:hyperlink>
      <w:r w:rsidR="00BE106E">
        <w:rPr>
          <w:rFonts w:ascii="Times New Roman" w:hAnsi="Times New Roman"/>
          <w:i/>
          <w:sz w:val="24"/>
        </w:rPr>
        <w:t xml:space="preserve"> </w:t>
      </w:r>
    </w:p>
    <w:p w:rsidR="00BE106E" w:rsidRPr="00661029" w:rsidRDefault="0081271F" w:rsidP="00BE106E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i/>
          <w:sz w:val="24"/>
          <w:szCs w:val="24"/>
        </w:rPr>
      </w:pPr>
      <w:hyperlink r:id="rId13" w:tooltip="Стратегии за морските басейни">
        <w:r w:rsidR="00BE106E">
          <w:rPr>
            <w:rFonts w:ascii="Times New Roman" w:hAnsi="Times New Roman"/>
            <w:i/>
            <w:sz w:val="24"/>
          </w:rPr>
          <w:t>Стратегии за морските басейни</w:t>
        </w:r>
      </w:hyperlink>
    </w:p>
    <w:p w:rsidR="00C76CEB" w:rsidRPr="00C400C7" w:rsidRDefault="00C76CEB" w:rsidP="008E274D">
      <w:pPr>
        <w:shd w:val="clear" w:color="auto" w:fill="FFFFFF"/>
        <w:spacing w:after="75" w:line="240" w:lineRule="atLeast"/>
        <w:rPr>
          <w:rFonts w:ascii="Arial" w:eastAsia="Times New Roman" w:hAnsi="Arial" w:cs="Arial"/>
          <w:color w:val="363636"/>
          <w:sz w:val="17"/>
          <w:szCs w:val="17"/>
        </w:rPr>
      </w:pPr>
    </w:p>
    <w:p w:rsidR="008E274D" w:rsidRPr="004B2394" w:rsidRDefault="0081271F" w:rsidP="004B2394">
      <w:pPr>
        <w:spacing w:before="120" w:after="0" w:line="240" w:lineRule="auto"/>
        <w:ind w:left="35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hyperlink r:id="rId14">
        <w:r w:rsidR="008E274D">
          <w:rPr>
            <w:rFonts w:ascii="Times New Roman" w:hAnsi="Times New Roman"/>
            <w:b/>
            <w:i/>
            <w:sz w:val="24"/>
          </w:rPr>
          <w:t>„Син растеж“</w:t>
        </w:r>
      </w:hyperlink>
      <w:r w:rsidR="008E274D">
        <w:rPr>
          <w:rFonts w:ascii="Times New Roman" w:hAnsi="Times New Roman"/>
          <w:b/>
          <w:i/>
          <w:sz w:val="24"/>
        </w:rPr>
        <w:t xml:space="preserve"> </w:t>
      </w:r>
    </w:p>
    <w:p w:rsidR="00BE106E" w:rsidRPr="005E663E" w:rsidRDefault="008E274D" w:rsidP="00BE106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Official_documents"/>
      <w:bookmarkEnd w:id="2"/>
      <w:r>
        <w:rPr>
          <w:rFonts w:ascii="Times New Roman" w:hAnsi="Times New Roman"/>
          <w:sz w:val="24"/>
        </w:rPr>
        <w:t xml:space="preserve">„Син растеж“ е дългосрочната стратегия в подкрепа на устойчивия растеж в корабоплаването и морските отрасли като цяло. В нея се потвърждава, че моретата и океаните са двигатели на европейската икономика с голям потенциал за иновации и растеж. Това е приносът на ИМП за постигане на целите на стратегията „Европа 2020“ за интелигентен, устойчив и приобщаващ растеж. В „синята“ икономика са заети 5,4 млн. души, а нейната брутна добавена стойност е почти 500 млрд. евро. Възможен е обаче още по-голям растеж в редица области, които са посочени в стратегията: крайбрежен туризъм, аквакултури, синя енергия, сини биотехнологии и добив на изкопаеми от морското дъно. </w:t>
      </w:r>
    </w:p>
    <w:p w:rsidR="008E274D" w:rsidRPr="00BE106E" w:rsidRDefault="008E274D" w:rsidP="008E274D">
      <w:pPr>
        <w:shd w:val="clear" w:color="auto" w:fill="FFFFFF"/>
        <w:spacing w:after="75" w:line="240" w:lineRule="atLeast"/>
        <w:rPr>
          <w:rFonts w:ascii="Arial" w:eastAsia="Times New Roman" w:hAnsi="Arial" w:cs="Arial"/>
          <w:color w:val="363636"/>
          <w:sz w:val="17"/>
          <w:szCs w:val="17"/>
        </w:rPr>
      </w:pPr>
    </w:p>
    <w:p w:rsidR="008E274D" w:rsidRPr="00BE106E" w:rsidRDefault="0081271F" w:rsidP="004B2394">
      <w:pPr>
        <w:spacing w:before="120" w:after="0" w:line="240" w:lineRule="auto"/>
        <w:ind w:left="357"/>
        <w:jc w:val="both"/>
        <w:rPr>
          <w:rFonts w:ascii="Verdana" w:eastAsia="Times New Roman" w:hAnsi="Verdana" w:cs="Arial"/>
          <w:b/>
          <w:bCs/>
          <w:color w:val="2969B5"/>
          <w:sz w:val="21"/>
          <w:szCs w:val="21"/>
        </w:rPr>
      </w:pPr>
      <w:hyperlink r:id="rId15" w:tooltip="Данни и познания за морската среда">
        <w:r w:rsidR="008E274D">
          <w:rPr>
            <w:rFonts w:ascii="Times New Roman" w:hAnsi="Times New Roman"/>
            <w:b/>
            <w:i/>
            <w:sz w:val="24"/>
          </w:rPr>
          <w:t>Данни и познания за морската среда</w:t>
        </w:r>
      </w:hyperlink>
      <w:r w:rsidR="008E274D">
        <w:rPr>
          <w:rFonts w:ascii="Times New Roman" w:hAnsi="Times New Roman"/>
          <w:b/>
          <w:i/>
          <w:sz w:val="24"/>
        </w:rPr>
        <w:t xml:space="preserve"> </w:t>
      </w:r>
    </w:p>
    <w:p w:rsidR="008E274D" w:rsidRPr="00BE106E" w:rsidRDefault="008E274D" w:rsidP="00BE106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Чрез инициативата „Познания за морската среда 2020“ се обединяват данни за морската среда от различни източници с цел да се помогне на промишлеността, публичните власти и изследователите да събират данни и да ги използват по-ефективно за разработване на нови продукти и услуги, </w:t>
      </w:r>
      <w:r>
        <w:rPr>
          <w:rFonts w:ascii="Times New Roman" w:hAnsi="Times New Roman"/>
          <w:i/>
          <w:sz w:val="24"/>
        </w:rPr>
        <w:t>както и</w:t>
      </w:r>
      <w:r>
        <w:rPr>
          <w:rFonts w:ascii="Times New Roman" w:hAnsi="Times New Roman"/>
          <w:sz w:val="24"/>
        </w:rPr>
        <w:t xml:space="preserve"> за подобряване на разбирането ни за процесите в моретата. </w:t>
      </w:r>
    </w:p>
    <w:p w:rsidR="008E274D" w:rsidRPr="004B2394" w:rsidRDefault="008E274D" w:rsidP="004B239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Националните данни не ни казват всичко, което искаме да знаем за моретата като глобална система, свързана от променящи се ветрове, сезонни течения и мигриращи видове; анализът на европейско ниво е много важен. ЕС способства за интегрирането на различни национални и местни системи в едно цяло. </w:t>
      </w:r>
    </w:p>
    <w:p w:rsidR="00BE106E" w:rsidRDefault="00BE106E" w:rsidP="00BE106E">
      <w:pPr>
        <w:shd w:val="clear" w:color="auto" w:fill="FFFFFF"/>
        <w:spacing w:after="75" w:line="240" w:lineRule="atLeast"/>
        <w:ind w:left="360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8E274D" w:rsidRPr="00BE106E" w:rsidRDefault="0081271F" w:rsidP="004B2394">
      <w:pPr>
        <w:spacing w:before="120" w:after="0" w:line="240" w:lineRule="auto"/>
        <w:ind w:left="35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hyperlink r:id="rId16" w:tooltip="Морско пространствено планиране">
        <w:r w:rsidR="008E274D">
          <w:rPr>
            <w:rFonts w:ascii="Times New Roman" w:hAnsi="Times New Roman"/>
            <w:b/>
            <w:i/>
            <w:sz w:val="24"/>
          </w:rPr>
          <w:t>Морско пространствено планиране</w:t>
        </w:r>
      </w:hyperlink>
      <w:r w:rsidR="008E274D">
        <w:t xml:space="preserve"> </w:t>
      </w:r>
      <w:r w:rsidR="008E274D">
        <w:rPr>
          <w:rFonts w:ascii="Times New Roman" w:hAnsi="Times New Roman"/>
          <w:b/>
          <w:i/>
          <w:sz w:val="24"/>
        </w:rPr>
        <w:t xml:space="preserve">(МПП) </w:t>
      </w:r>
    </w:p>
    <w:p w:rsidR="00104C86" w:rsidRPr="00BE106E" w:rsidRDefault="004B2394" w:rsidP="00104C8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МПП означава планиране кога и къде да се провеждат човешки дейности в морето, за да се гарантира тяхната максимална ефективност и устойчивост. МПП включва по прозрачен начин заинтересованите страни в планирането на морските дейности. Конкуренцията за морското пространство — за съоръжения за възобновяема енергия, аквакултури и други сфери на растеж — подчертава необходимостта от ефективно управление, за да се избегнат евентуални конфликти и да се създаде синергичен ефект между различните дейности. </w:t>
      </w:r>
    </w:p>
    <w:p w:rsidR="008E274D" w:rsidRPr="004B2394" w:rsidRDefault="00DB62B0" w:rsidP="004B239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През юли 2014 г. Европейският парламент и Съветът приеха </w:t>
      </w:r>
      <w:hyperlink r:id="rId17" w:tooltip="законодателство за създаване на обща рамка за морско пространствено планиране в Европа">
        <w:r>
          <w:rPr>
            <w:rStyle w:val="Hyperlink"/>
            <w:rFonts w:ascii="Times New Roman" w:hAnsi="Times New Roman"/>
            <w:sz w:val="24"/>
          </w:rPr>
          <w:t>законодателство за създаване на обща рамка за морско пространствено планиране в Европа</w:t>
        </w:r>
      </w:hyperlink>
      <w:r>
        <w:rPr>
          <w:rFonts w:ascii="Times New Roman" w:hAnsi="Times New Roman"/>
          <w:sz w:val="24"/>
        </w:rPr>
        <w:t>. Всяка страна от ЕС ще бъде свободна да планира своите морски дейности, но местното, регионалното и националното планиране в общите морета ще бъде по-съгласувано чрез набор от минимални общи изисквания.</w:t>
      </w:r>
    </w:p>
    <w:p w:rsidR="008E274D" w:rsidRPr="008E274D" w:rsidRDefault="004B2394" w:rsidP="004B2394">
      <w:pPr>
        <w:spacing w:before="120" w:after="0" w:line="240" w:lineRule="auto"/>
        <w:jc w:val="both"/>
        <w:rPr>
          <w:rFonts w:ascii="Arial" w:eastAsia="Times New Roman" w:hAnsi="Arial" w:cs="Arial"/>
          <w:color w:val="363636"/>
          <w:sz w:val="17"/>
          <w:szCs w:val="17"/>
        </w:rPr>
      </w:pPr>
      <w:r>
        <w:rPr>
          <w:rFonts w:ascii="Times New Roman" w:hAnsi="Times New Roman"/>
          <w:sz w:val="24"/>
        </w:rPr>
        <w:t xml:space="preserve">Сред ползите от морското пространствено планиране могат да бъдат посочени: </w:t>
      </w:r>
      <w:r>
        <w:rPr>
          <w:rFonts w:ascii="Times New Roman" w:hAnsi="Times New Roman"/>
          <w:i/>
          <w:sz w:val="24"/>
        </w:rPr>
        <w:t>Намаляването на конфликтите между секторите и създаването на синергичен ефект</w:t>
      </w:r>
      <w:r>
        <w:rPr>
          <w:rFonts w:ascii="Times New Roman" w:hAnsi="Times New Roman"/>
          <w:sz w:val="24"/>
        </w:rPr>
        <w:t xml:space="preserve"> между различните дейности; </w:t>
      </w:r>
      <w:r>
        <w:rPr>
          <w:rFonts w:ascii="Times New Roman" w:hAnsi="Times New Roman"/>
          <w:i/>
          <w:sz w:val="24"/>
        </w:rPr>
        <w:t>Насърчаването на инвестициите</w:t>
      </w:r>
      <w:r>
        <w:rPr>
          <w:rFonts w:ascii="Times New Roman" w:hAnsi="Times New Roman"/>
          <w:sz w:val="24"/>
        </w:rPr>
        <w:t xml:space="preserve"> чрез повече предвидимост и прозрачност и по-ясни правила; </w:t>
      </w:r>
      <w:r>
        <w:rPr>
          <w:rFonts w:ascii="Times New Roman" w:hAnsi="Times New Roman"/>
          <w:i/>
          <w:sz w:val="24"/>
        </w:rPr>
        <w:t>Засилването на координацията</w:t>
      </w:r>
      <w:r>
        <w:rPr>
          <w:rFonts w:ascii="Times New Roman" w:hAnsi="Times New Roman"/>
          <w:sz w:val="24"/>
        </w:rPr>
        <w:t xml:space="preserve"> между администрациите във всяка държава; </w:t>
      </w:r>
      <w:r>
        <w:rPr>
          <w:rFonts w:ascii="Times New Roman" w:hAnsi="Times New Roman"/>
          <w:i/>
          <w:sz w:val="24"/>
        </w:rPr>
        <w:t>Засилването на трансграничното сътрудничество</w:t>
      </w:r>
      <w:r>
        <w:rPr>
          <w:rFonts w:ascii="Times New Roman" w:hAnsi="Times New Roman"/>
          <w:sz w:val="24"/>
        </w:rPr>
        <w:t xml:space="preserve"> между страните от ЕС в областта на кабелите, тръбопроводите, морските пътища, вятърните инсталации и др.; </w:t>
      </w:r>
      <w:r>
        <w:rPr>
          <w:rFonts w:ascii="Times New Roman" w:hAnsi="Times New Roman"/>
          <w:i/>
          <w:sz w:val="24"/>
        </w:rPr>
        <w:t>Опазването на околната среда</w:t>
      </w:r>
      <w:r>
        <w:rPr>
          <w:rFonts w:ascii="Times New Roman" w:hAnsi="Times New Roman"/>
          <w:sz w:val="24"/>
        </w:rPr>
        <w:t xml:space="preserve"> чрез навременно анализиране на въздействието.</w:t>
      </w:r>
      <w:r>
        <w:rPr>
          <w:rFonts w:ascii="Arial" w:hAnsi="Arial"/>
          <w:color w:val="363636"/>
          <w:sz w:val="17"/>
        </w:rPr>
        <w:t xml:space="preserve"> </w:t>
      </w:r>
    </w:p>
    <w:p w:rsidR="00BE106E" w:rsidRPr="00BE106E" w:rsidRDefault="00BE106E" w:rsidP="008E274D">
      <w:pPr>
        <w:shd w:val="clear" w:color="auto" w:fill="FFFFFF"/>
        <w:spacing w:after="75" w:line="240" w:lineRule="atLeast"/>
        <w:rPr>
          <w:rFonts w:ascii="Arial" w:eastAsia="Times New Roman" w:hAnsi="Arial" w:cs="Arial"/>
          <w:color w:val="363636"/>
          <w:sz w:val="17"/>
          <w:szCs w:val="17"/>
        </w:rPr>
      </w:pPr>
    </w:p>
    <w:p w:rsidR="008E274D" w:rsidRPr="00C400C7" w:rsidRDefault="0081271F" w:rsidP="004B2394">
      <w:pPr>
        <w:spacing w:before="120" w:after="0" w:line="240" w:lineRule="auto"/>
        <w:ind w:left="35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hyperlink r:id="rId18" w:tooltip="Интегрирано морско наблюдение">
        <w:r w:rsidR="008E274D">
          <w:rPr>
            <w:rFonts w:ascii="Times New Roman" w:hAnsi="Times New Roman"/>
            <w:b/>
            <w:i/>
            <w:sz w:val="24"/>
          </w:rPr>
          <w:t>Интегрирано морско наблюдение</w:t>
        </w:r>
      </w:hyperlink>
      <w:r w:rsidR="008E274D">
        <w:rPr>
          <w:rFonts w:ascii="Times New Roman" w:hAnsi="Times New Roman"/>
          <w:b/>
          <w:i/>
          <w:sz w:val="24"/>
        </w:rPr>
        <w:t xml:space="preserve"> </w:t>
      </w:r>
    </w:p>
    <w:p w:rsidR="008E274D" w:rsidRPr="00C400C7" w:rsidRDefault="008E274D" w:rsidP="00363D5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Интегрираното морско наблюдение има за цел да предоставя средства за обмен на информация и данни на органите, заинтересувани или работещи в областта на морското наблюдение. Обменът на данни ще направи наблюдението по-евтино и по-ефективно. </w:t>
      </w:r>
    </w:p>
    <w:p w:rsidR="00104C86" w:rsidRPr="00C400C7" w:rsidRDefault="008E274D" w:rsidP="00363D52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Понастоящем ЕС и националните власти, отговарящи за различни аспекти на наблюдението — например граничен контрол, безопасност и сигурност, контрол на рибарството, митници, околна среда или отбрана, събират данни поотделно и често пъти не ги споделят помежду си. В резултат на това едни и същи данни могат да бъдат събирани повече от веднъж. </w:t>
      </w:r>
      <w:r>
        <w:rPr>
          <w:rFonts w:ascii="Times New Roman" w:hAnsi="Times New Roman"/>
          <w:sz w:val="24"/>
        </w:rPr>
        <w:lastRenderedPageBreak/>
        <w:t xml:space="preserve">Европейската комисия и държавите — членки на ЕС/ЕИП, в момента разработват съвместно </w:t>
      </w:r>
      <w:r>
        <w:rPr>
          <w:rFonts w:ascii="Times New Roman" w:hAnsi="Times New Roman"/>
          <w:i/>
          <w:sz w:val="24"/>
        </w:rPr>
        <w:t>Обща среда за обмен на информация</w:t>
      </w:r>
      <w:r>
        <w:rPr>
          <w:rFonts w:ascii="Times New Roman" w:hAnsi="Times New Roman"/>
          <w:sz w:val="24"/>
        </w:rPr>
        <w:t xml:space="preserve"> (CISE). Тя ще свързва съществуващите системи и мрежи за наблюдение и ще дава на всички заинтересовани власти достъп до информацията, която им е необходима за изпълнение на техните задачи в морето. </w:t>
      </w:r>
    </w:p>
    <w:p w:rsidR="004B2394" w:rsidRPr="00C400C7" w:rsidRDefault="004B2394" w:rsidP="00104C86">
      <w:pPr>
        <w:spacing w:before="120"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Стратегии за морските басейни </w:t>
      </w:r>
    </w:p>
    <w:p w:rsidR="00C400C7" w:rsidRPr="005E663E" w:rsidRDefault="004B2394" w:rsidP="005E663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Балтийско море, Черно море, Средиземно море, Северно море, Атлантическият океан и Северният ледовит океан — всеки морски район е уникален и заслужава съобразена с него стратегия. Морската политика насърчава стратегии за растеж и развитие, които използват силните страни и обръщат внимание на слабостите на всеки голям морски район в ЕС: изменението на климата в Арктика, потенциала на Атлантическия океан в областта на възобновяемата енергия, проблемите на замърсяването на моретата и океаните и морската безопасност. </w:t>
      </w:r>
    </w:p>
    <w:sectPr w:rsidR="00C400C7" w:rsidRPr="005E663E" w:rsidSect="00536E21">
      <w:pgSz w:w="11906" w:h="16838"/>
      <w:pgMar w:top="993" w:right="991" w:bottom="12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420"/>
    <w:multiLevelType w:val="hybridMultilevel"/>
    <w:tmpl w:val="147E7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7CDC"/>
    <w:multiLevelType w:val="hybridMultilevel"/>
    <w:tmpl w:val="9776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349E"/>
    <w:multiLevelType w:val="multilevel"/>
    <w:tmpl w:val="7DB6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04156"/>
    <w:multiLevelType w:val="multilevel"/>
    <w:tmpl w:val="87CC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C6EC8"/>
    <w:multiLevelType w:val="multilevel"/>
    <w:tmpl w:val="65A0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97D5B"/>
    <w:multiLevelType w:val="multilevel"/>
    <w:tmpl w:val="D87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C1264E"/>
    <w:multiLevelType w:val="hybridMultilevel"/>
    <w:tmpl w:val="78724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114D6"/>
    <w:multiLevelType w:val="multilevel"/>
    <w:tmpl w:val="EF5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B01DD5"/>
    <w:multiLevelType w:val="multilevel"/>
    <w:tmpl w:val="64BA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9659F"/>
    <w:multiLevelType w:val="hybridMultilevel"/>
    <w:tmpl w:val="3AB0E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36879"/>
    <w:multiLevelType w:val="hybridMultilevel"/>
    <w:tmpl w:val="147E7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B156F"/>
    <w:multiLevelType w:val="hybridMultilevel"/>
    <w:tmpl w:val="0414E6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947A1"/>
    <w:multiLevelType w:val="hybridMultilevel"/>
    <w:tmpl w:val="4B36D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082F"/>
    <w:multiLevelType w:val="multilevel"/>
    <w:tmpl w:val="64E8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3F203C"/>
    <w:multiLevelType w:val="hybridMultilevel"/>
    <w:tmpl w:val="6C022B7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A67F3A"/>
    <w:multiLevelType w:val="hybridMultilevel"/>
    <w:tmpl w:val="5FDE5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F3DC3"/>
    <w:multiLevelType w:val="hybridMultilevel"/>
    <w:tmpl w:val="147E7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D07A2"/>
    <w:multiLevelType w:val="multilevel"/>
    <w:tmpl w:val="175C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A7750F"/>
    <w:multiLevelType w:val="hybridMultilevel"/>
    <w:tmpl w:val="A16C2FDE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580A33BA"/>
    <w:multiLevelType w:val="multilevel"/>
    <w:tmpl w:val="67E0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A8612A3"/>
    <w:multiLevelType w:val="multilevel"/>
    <w:tmpl w:val="357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B06AB0"/>
    <w:multiLevelType w:val="hybridMultilevel"/>
    <w:tmpl w:val="4E4893B2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>
    <w:nsid w:val="68FA14CD"/>
    <w:multiLevelType w:val="hybridMultilevel"/>
    <w:tmpl w:val="0414E6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A5218"/>
    <w:multiLevelType w:val="hybridMultilevel"/>
    <w:tmpl w:val="4330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15268"/>
    <w:multiLevelType w:val="hybridMultilevel"/>
    <w:tmpl w:val="2D8833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02D72"/>
    <w:multiLevelType w:val="multilevel"/>
    <w:tmpl w:val="386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C7C4F"/>
    <w:multiLevelType w:val="hybridMultilevel"/>
    <w:tmpl w:val="55B45A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473F0"/>
    <w:multiLevelType w:val="hybridMultilevel"/>
    <w:tmpl w:val="04E8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F00B6"/>
    <w:multiLevelType w:val="multilevel"/>
    <w:tmpl w:val="0AA2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D612BB"/>
    <w:multiLevelType w:val="multilevel"/>
    <w:tmpl w:val="A148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6"/>
  </w:num>
  <w:num w:numId="3">
    <w:abstractNumId w:val="29"/>
  </w:num>
  <w:num w:numId="4">
    <w:abstractNumId w:val="7"/>
  </w:num>
  <w:num w:numId="5">
    <w:abstractNumId w:val="19"/>
  </w:num>
  <w:num w:numId="6">
    <w:abstractNumId w:val="5"/>
  </w:num>
  <w:num w:numId="7">
    <w:abstractNumId w:val="13"/>
  </w:num>
  <w:num w:numId="8">
    <w:abstractNumId w:val="21"/>
  </w:num>
  <w:num w:numId="9">
    <w:abstractNumId w:val="26"/>
  </w:num>
  <w:num w:numId="10">
    <w:abstractNumId w:val="24"/>
  </w:num>
  <w:num w:numId="11">
    <w:abstractNumId w:val="11"/>
  </w:num>
  <w:num w:numId="12">
    <w:abstractNumId w:val="22"/>
  </w:num>
  <w:num w:numId="13">
    <w:abstractNumId w:val="17"/>
  </w:num>
  <w:num w:numId="14">
    <w:abstractNumId w:val="9"/>
  </w:num>
  <w:num w:numId="15">
    <w:abstractNumId w:val="28"/>
  </w:num>
  <w:num w:numId="16">
    <w:abstractNumId w:val="10"/>
  </w:num>
  <w:num w:numId="17">
    <w:abstractNumId w:val="15"/>
  </w:num>
  <w:num w:numId="18">
    <w:abstractNumId w:val="12"/>
  </w:num>
  <w:num w:numId="19">
    <w:abstractNumId w:val="14"/>
  </w:num>
  <w:num w:numId="20">
    <w:abstractNumId w:val="4"/>
  </w:num>
  <w:num w:numId="21">
    <w:abstractNumId w:val="8"/>
  </w:num>
  <w:num w:numId="22">
    <w:abstractNumId w:val="3"/>
  </w:num>
  <w:num w:numId="23">
    <w:abstractNumId w:val="23"/>
  </w:num>
  <w:num w:numId="24">
    <w:abstractNumId w:val="1"/>
  </w:num>
  <w:num w:numId="25">
    <w:abstractNumId w:val="0"/>
  </w:num>
  <w:num w:numId="26">
    <w:abstractNumId w:val="2"/>
  </w:num>
  <w:num w:numId="27">
    <w:abstractNumId w:val="25"/>
  </w:num>
  <w:num w:numId="28">
    <w:abstractNumId w:val="27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B20A4"/>
    <w:rsid w:val="00064C62"/>
    <w:rsid w:val="00097A3F"/>
    <w:rsid w:val="00104C86"/>
    <w:rsid w:val="00162F90"/>
    <w:rsid w:val="0018468C"/>
    <w:rsid w:val="0025456A"/>
    <w:rsid w:val="002D728F"/>
    <w:rsid w:val="00363D52"/>
    <w:rsid w:val="003D3F03"/>
    <w:rsid w:val="00404E5B"/>
    <w:rsid w:val="004717C1"/>
    <w:rsid w:val="004A340D"/>
    <w:rsid w:val="004B2394"/>
    <w:rsid w:val="00536E21"/>
    <w:rsid w:val="00577192"/>
    <w:rsid w:val="005E663E"/>
    <w:rsid w:val="00622F1F"/>
    <w:rsid w:val="00661029"/>
    <w:rsid w:val="006E3881"/>
    <w:rsid w:val="0076146F"/>
    <w:rsid w:val="00772A72"/>
    <w:rsid w:val="007B20A4"/>
    <w:rsid w:val="007E4922"/>
    <w:rsid w:val="0081271F"/>
    <w:rsid w:val="0082628B"/>
    <w:rsid w:val="0088043D"/>
    <w:rsid w:val="008D54ED"/>
    <w:rsid w:val="008E274D"/>
    <w:rsid w:val="008F477D"/>
    <w:rsid w:val="00A2238F"/>
    <w:rsid w:val="00A25A1E"/>
    <w:rsid w:val="00A30D04"/>
    <w:rsid w:val="00B7385F"/>
    <w:rsid w:val="00BD604B"/>
    <w:rsid w:val="00BE106E"/>
    <w:rsid w:val="00C13062"/>
    <w:rsid w:val="00C15503"/>
    <w:rsid w:val="00C400C7"/>
    <w:rsid w:val="00C76CEB"/>
    <w:rsid w:val="00CE0764"/>
    <w:rsid w:val="00DA5250"/>
    <w:rsid w:val="00DB62B0"/>
    <w:rsid w:val="00DB68F1"/>
    <w:rsid w:val="00E53020"/>
    <w:rsid w:val="00EC625A"/>
    <w:rsid w:val="00F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bg-B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7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76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F90"/>
    <w:pPr>
      <w:ind w:left="720"/>
      <w:contextualSpacing/>
    </w:pPr>
  </w:style>
  <w:style w:type="character" w:styleId="Strong">
    <w:name w:val="Strong"/>
    <w:uiPriority w:val="22"/>
    <w:qFormat/>
    <w:rsid w:val="008E274D"/>
    <w:rPr>
      <w:b/>
      <w:bCs/>
    </w:rPr>
  </w:style>
  <w:style w:type="character" w:styleId="Emphasis">
    <w:name w:val="Emphasis"/>
    <w:uiPriority w:val="20"/>
    <w:qFormat/>
    <w:rsid w:val="008E274D"/>
    <w:rPr>
      <w:i/>
      <w:iCs/>
    </w:rPr>
  </w:style>
  <w:style w:type="character" w:styleId="Hyperlink">
    <w:name w:val="Hyperlink"/>
    <w:uiPriority w:val="99"/>
    <w:unhideWhenUsed/>
    <w:rsid w:val="00A2238F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C76CEB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76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2776C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bg-B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7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76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F90"/>
    <w:pPr>
      <w:ind w:left="720"/>
      <w:contextualSpacing/>
    </w:pPr>
  </w:style>
  <w:style w:type="character" w:styleId="Strong">
    <w:name w:val="Strong"/>
    <w:uiPriority w:val="22"/>
    <w:qFormat/>
    <w:rsid w:val="008E274D"/>
    <w:rPr>
      <w:b/>
      <w:bCs/>
    </w:rPr>
  </w:style>
  <w:style w:type="character" w:styleId="Emphasis">
    <w:name w:val="Emphasis"/>
    <w:uiPriority w:val="20"/>
    <w:qFormat/>
    <w:rsid w:val="008E274D"/>
    <w:rPr>
      <w:i/>
      <w:iCs/>
    </w:rPr>
  </w:style>
  <w:style w:type="character" w:styleId="Hyperlink">
    <w:name w:val="Hyperlink"/>
    <w:uiPriority w:val="99"/>
    <w:unhideWhenUsed/>
    <w:rsid w:val="00A2238F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C76CEB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76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2776C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8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5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1355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3C9DE"/>
                                <w:bottom w:val="single" w:sz="6" w:space="0" w:color="A3C9DE"/>
                                <w:right w:val="single" w:sz="6" w:space="8" w:color="A3C9DE"/>
                              </w:divBdr>
                              <w:divsChild>
                                <w:div w:id="5705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99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1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1692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3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3C9DE"/>
                                <w:bottom w:val="single" w:sz="6" w:space="0" w:color="A3C9DE"/>
                                <w:right w:val="single" w:sz="6" w:space="8" w:color="A3C9DE"/>
                              </w:divBdr>
                              <w:divsChild>
                                <w:div w:id="121426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30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91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3744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821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30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8252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3C9DE"/>
                                <w:bottom w:val="single" w:sz="6" w:space="0" w:color="A3C9DE"/>
                                <w:right w:val="single" w:sz="6" w:space="8" w:color="A3C9DE"/>
                              </w:divBdr>
                              <w:divsChild>
                                <w:div w:id="185368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1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8120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3C9DE"/>
                                <w:bottom w:val="single" w:sz="6" w:space="0" w:color="A3C9DE"/>
                                <w:right w:val="single" w:sz="6" w:space="8" w:color="A3C9DE"/>
                              </w:divBdr>
                              <w:divsChild>
                                <w:div w:id="903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733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5058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3C9DE"/>
                                <w:bottom w:val="single" w:sz="6" w:space="0" w:color="A3C9DE"/>
                                <w:right w:val="single" w:sz="6" w:space="8" w:color="A3C9DE"/>
                              </w:divBdr>
                              <w:divsChild>
                                <w:div w:id="17691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12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9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8565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54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9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4314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3C9DE"/>
                                <w:bottom w:val="single" w:sz="6" w:space="0" w:color="A3C9DE"/>
                                <w:right w:val="single" w:sz="6" w:space="8" w:color="A3C9DE"/>
                              </w:divBdr>
                              <w:divsChild>
                                <w:div w:id="17304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7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22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796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3C9DE"/>
                                <w:bottom w:val="single" w:sz="6" w:space="0" w:color="A3C9DE"/>
                                <w:right w:val="single" w:sz="6" w:space="8" w:color="A3C9DE"/>
                              </w:divBdr>
                              <w:divsChild>
                                <w:div w:id="17190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1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37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8587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3C9DE"/>
                                <w:bottom w:val="single" w:sz="6" w:space="0" w:color="A3C9DE"/>
                                <w:right w:val="single" w:sz="6" w:space="8" w:color="A3C9DE"/>
                              </w:divBdr>
                              <w:divsChild>
                                <w:div w:id="203576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87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90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6186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3C9DE"/>
                                <w:bottom w:val="single" w:sz="6" w:space="0" w:color="A3C9DE"/>
                                <w:right w:val="single" w:sz="6" w:space="8" w:color="A3C9DE"/>
                              </w:divBdr>
                              <w:divsChild>
                                <w:div w:id="13985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23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3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8442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3C9DE"/>
                                <w:bottom w:val="single" w:sz="6" w:space="0" w:color="A3C9DE"/>
                                <w:right w:val="single" w:sz="6" w:space="8" w:color="A3C9DE"/>
                              </w:divBdr>
                              <w:divsChild>
                                <w:div w:id="9272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41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5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8904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3C9DE"/>
                                <w:bottom w:val="single" w:sz="6" w:space="0" w:color="A3C9DE"/>
                                <w:right w:val="single" w:sz="6" w:space="8" w:color="A3C9DE"/>
                              </w:divBdr>
                              <w:divsChild>
                                <w:div w:id="12121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5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8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845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3C9DE"/>
                                <w:bottom w:val="single" w:sz="6" w:space="0" w:color="A3C9DE"/>
                                <w:right w:val="single" w:sz="6" w:space="8" w:color="A3C9DE"/>
                              </w:divBdr>
                              <w:divsChild>
                                <w:div w:id="12430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182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7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6505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3C9DE"/>
                                <w:bottom w:val="single" w:sz="6" w:space="0" w:color="A3C9DE"/>
                                <w:right w:val="single" w:sz="6" w:space="8" w:color="A3C9DE"/>
                              </w:divBdr>
                              <w:divsChild>
                                <w:div w:id="163336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795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0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9417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3C9DE"/>
                                <w:bottom w:val="single" w:sz="6" w:space="0" w:color="A3C9DE"/>
                                <w:right w:val="single" w:sz="6" w:space="8" w:color="A3C9DE"/>
                              </w:divBdr>
                              <w:divsChild>
                                <w:div w:id="8721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62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6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7048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3C9DE"/>
                                <w:bottom w:val="single" w:sz="6" w:space="0" w:color="A3C9DE"/>
                                <w:right w:val="single" w:sz="6" w:space="8" w:color="A3C9DE"/>
                              </w:divBdr>
                              <w:divsChild>
                                <w:div w:id="13237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67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8324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2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3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5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8308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5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8692">
                      <w:marLeft w:val="0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maritimeaffairs/links/index_bg.htm" TargetMode="External"/><Relationship Id="rId13" Type="http://schemas.openxmlformats.org/officeDocument/2006/relationships/hyperlink" Target="http://ec.europa.eu/maritimeaffairs/policy/sea_basins/index_bg.htm" TargetMode="External"/><Relationship Id="rId18" Type="http://schemas.openxmlformats.org/officeDocument/2006/relationships/hyperlink" Target="http://ec.europa.eu/maritimeaffairs/policy/integrated_maritime_surveillance/index_bg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.europa.eu/maritimeaffairs/policy/documents/limassol_en.pdf" TargetMode="External"/><Relationship Id="rId12" Type="http://schemas.openxmlformats.org/officeDocument/2006/relationships/hyperlink" Target="http://ec.europa.eu/maritimeaffairs/policy/integrated_maritime_surveillance/index_bg.htm" TargetMode="External"/><Relationship Id="rId17" Type="http://schemas.openxmlformats.org/officeDocument/2006/relationships/hyperlink" Target="http://eur-lex.europa.eu/legal-content/BG/TXT/?uri=uriserv:OJ.L_.2014.257.01.0135.01.ENG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maritimeaffairs/policy/maritime_spatial_planning/index_bg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maritimeforum/category/104" TargetMode="External"/><Relationship Id="rId11" Type="http://schemas.openxmlformats.org/officeDocument/2006/relationships/hyperlink" Target="http://ec.europa.eu/maritimeaffairs/policy/maritime_spatial_planning/index_bg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maritimeaffairs/policy/marine_knowledge_2020/index_bg.htm" TargetMode="External"/><Relationship Id="rId10" Type="http://schemas.openxmlformats.org/officeDocument/2006/relationships/hyperlink" Target="http://ec.europa.eu/maritimeaffairs/policy/marine_knowledge_2020/index_bg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.europa.eu/maritimeaffairs/policy/blue_growth/index_bg.htm" TargetMode="External"/><Relationship Id="rId14" Type="http://schemas.openxmlformats.org/officeDocument/2006/relationships/hyperlink" Target="http://ec.europa.eu/maritimeaffairs/policy/blue_growth/index_b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7297</Characters>
  <Application>Microsoft Office Word</Application>
  <DocSecurity>0</DocSecurity>
  <Lines>162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8492</CharactersWithSpaces>
  <SharedDoc>false</SharedDoc>
  <HLinks>
    <vt:vector size="78" baseType="variant">
      <vt:variant>
        <vt:i4>5177450</vt:i4>
      </vt:variant>
      <vt:variant>
        <vt:i4>36</vt:i4>
      </vt:variant>
      <vt:variant>
        <vt:i4>0</vt:i4>
      </vt:variant>
      <vt:variant>
        <vt:i4>5</vt:i4>
      </vt:variant>
      <vt:variant>
        <vt:lpwstr>http://ec.europa.eu/maritimeaffairs/policy/integrated_maritime_surveillance/index_en.htm</vt:lpwstr>
      </vt:variant>
      <vt:variant>
        <vt:lpwstr/>
      </vt:variant>
      <vt:variant>
        <vt:i4>6684748</vt:i4>
      </vt:variant>
      <vt:variant>
        <vt:i4>33</vt:i4>
      </vt:variant>
      <vt:variant>
        <vt:i4>0</vt:i4>
      </vt:variant>
      <vt:variant>
        <vt:i4>5</vt:i4>
      </vt:variant>
      <vt:variant>
        <vt:lpwstr>http://eur-lex.europa.eu/legal-content/EN/TXT/?uri=uriserv:OJ.L_.2014.257.01.0135.01.ENG</vt:lpwstr>
      </vt:variant>
      <vt:variant>
        <vt:lpwstr/>
      </vt:variant>
      <vt:variant>
        <vt:i4>5570658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http://ec.europa.eu/maritimeaffairs/policy/maritime_spatial_planning/index_en.htm</vt:lpwstr>
      </vt:variant>
      <vt:variant>
        <vt:lpwstr/>
      </vt:variant>
      <vt:variant>
        <vt:i4>5242980</vt:i4>
      </vt:variant>
      <vt:variant>
        <vt:i4>27</vt:i4>
      </vt:variant>
      <vt:variant>
        <vt:i4>0</vt:i4>
      </vt:variant>
      <vt:variant>
        <vt:i4>5</vt:i4>
      </vt:variant>
      <vt:variant>
        <vt:lpwstr>http://ec.europa.eu/maritimeaffairs/policy/marine_knowledge_2020/index_en.htm</vt:lpwstr>
      </vt:variant>
      <vt:variant>
        <vt:lpwstr/>
      </vt:variant>
      <vt:variant>
        <vt:i4>2031637</vt:i4>
      </vt:variant>
      <vt:variant>
        <vt:i4>24</vt:i4>
      </vt:variant>
      <vt:variant>
        <vt:i4>0</vt:i4>
      </vt:variant>
      <vt:variant>
        <vt:i4>5</vt:i4>
      </vt:variant>
      <vt:variant>
        <vt:lpwstr>http://ec.europa.eu/maritimeaffairs/policy/blue_growth/index_en.htm</vt:lpwstr>
      </vt:variant>
      <vt:variant>
        <vt:lpwstr/>
      </vt:variant>
      <vt:variant>
        <vt:i4>851990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http://ec.europa.eu/maritimeaffairs/policy/sea_basins/index_en.htm</vt:lpwstr>
      </vt:variant>
      <vt:variant>
        <vt:lpwstr/>
      </vt:variant>
      <vt:variant>
        <vt:i4>5177450</vt:i4>
      </vt:variant>
      <vt:variant>
        <vt:i4>18</vt:i4>
      </vt:variant>
      <vt:variant>
        <vt:i4>0</vt:i4>
      </vt:variant>
      <vt:variant>
        <vt:i4>5</vt:i4>
      </vt:variant>
      <vt:variant>
        <vt:lpwstr>http://ec.europa.eu/maritimeaffairs/policy/integrated_maritime_surveillance/index_en.htm</vt:lpwstr>
      </vt:variant>
      <vt:variant>
        <vt:lpwstr/>
      </vt:variant>
      <vt:variant>
        <vt:i4>5570658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http://ec.europa.eu/maritimeaffairs/policy/maritime_spatial_planning/index_en.htm</vt:lpwstr>
      </vt:variant>
      <vt:variant>
        <vt:lpwstr/>
      </vt:variant>
      <vt:variant>
        <vt:i4>5242980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http://ec.europa.eu/maritimeaffairs/policy/marine_knowledge_2020/index_en.htm</vt:lpwstr>
      </vt:variant>
      <vt:variant>
        <vt:lpwstr/>
      </vt:variant>
      <vt:variant>
        <vt:i4>2031637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http://ec.europa.eu/maritimeaffairs/policy/blue_growth/index_en.htm</vt:lpwstr>
      </vt:variant>
      <vt:variant>
        <vt:lpwstr/>
      </vt:variant>
      <vt:variant>
        <vt:i4>1900662</vt:i4>
      </vt:variant>
      <vt:variant>
        <vt:i4>6</vt:i4>
      </vt:variant>
      <vt:variant>
        <vt:i4>0</vt:i4>
      </vt:variant>
      <vt:variant>
        <vt:i4>5</vt:i4>
      </vt:variant>
      <vt:variant>
        <vt:lpwstr>http://ec.europa.eu/maritimeaffairs/links/index_en.htm</vt:lpwstr>
      </vt:variant>
      <vt:variant>
        <vt:lpwstr/>
      </vt:variant>
      <vt:variant>
        <vt:i4>3997697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http://ec.europa.eu/maritimeaffairs/policy/documents/limassol_en.pdf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https://webgate.ec.europa.eu/maritimeforum/category/104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STOYANOV Svetoslav (MARE)</dc:creator>
  <cp:lastModifiedBy>STOYANOV Svetoslav (MARE)</cp:lastModifiedBy>
  <cp:revision>2</cp:revision>
  <dcterms:created xsi:type="dcterms:W3CDTF">2017-09-12T11:26:00Z</dcterms:created>
  <dcterms:modified xsi:type="dcterms:W3CDTF">2017-09-12T11:26:00Z</dcterms:modified>
</cp:coreProperties>
</file>